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300"/>
        <w:jc w:val="center"/>
      </w:pPr>
      <w:r>
        <w:rPr>
          <w:b/>
          <w:bCs/>
          <w:color w:val="1F3864"/>
          <w:sz w:val="32"/>
          <w:szCs w:val="32"/>
        </w:rPr>
        <w:t xml:space="preserve">Système d'Optimisation de Portefeuille par Machine Learning</w:t>
      </w:r>
    </w:p>
    <w:p>
      <w:pPr>
        <w:spacing w:after="200"/>
        <w:jc w:val="center"/>
      </w:pPr>
      <w:r>
        <w:rPr>
          <w:b/>
          <w:bCs/>
          <w:sz w:val="26"/>
          <w:szCs w:val="26"/>
        </w:rPr>
        <w:t xml:space="preserve">Livrable de la Phase 5 — Évaluation Hors-Échantillon</w:t>
      </w:r>
    </w:p>
    <w:p>
      <w:pPr>
        <w:spacing w:after="600"/>
        <w:jc w:val="center"/>
      </w:pPr>
      <w:r>
        <w:rPr>
          <w:i/>
          <w:iCs/>
          <w:color w:val="595959"/>
          <w:sz w:val="20"/>
          <w:szCs w:val="20"/>
        </w:rPr>
        <w:t xml:space="preserve">Validation croisée purgée · sélection honnête · intervalles de confiance · Sharpe déflaté</w:t>
      </w:r>
    </w:p>
    <w:p>
      <w:pPr>
        <w:spacing w:after="120"/>
        <w:jc w:val="center"/>
      </w:pPr>
      <w:r>
        <w:rPr>
          <w:sz w:val="22"/>
          <w:szCs w:val="22"/>
        </w:rPr>
        <w:t xml:space="preserve">EURAFRIC Information — Projet de Fin d'Année (PFA)</w:t>
      </w:r>
    </w:p>
    <w:p>
      <w:pPr>
        <w:spacing w:after="120"/>
        <w:jc w:val="center"/>
      </w:pPr>
      <w:r>
        <w:rPr>
          <w:sz w:val="22"/>
          <w:szCs w:val="22"/>
        </w:rPr>
        <w:t xml:space="preserve">Institut National des Postes et Télécommunications (INPT)</w:t>
      </w:r>
    </w:p>
    <w:p>
      <w:pPr>
        <w:spacing w:after="120"/>
        <w:jc w:val="center"/>
      </w:pPr>
      <w:r>
        <w:rPr>
          <w:color w:val="595959"/>
          <w:sz w:val="20"/>
          <w:szCs w:val="20"/>
        </w:rPr>
        <w:t xml:space="preserve">Équipe : Souhail Bourhim · Zakarya EL WALI · Yasmine BOUAJINE</w:t>
      </w:r>
    </w:p>
    <w:p>
      <w:pPr>
        <w:spacing w:after="120"/>
        <w:jc w:val="center"/>
      </w:pPr>
      <w:r>
        <w:rPr>
          <w:color w:val="595959"/>
          <w:sz w:val="20"/>
          <w:szCs w:val="20"/>
        </w:rPr>
        <w:t xml:space="preserve">Encadrant : Abdelmouttalib</w:t>
      </w:r>
    </w:p>
    <w:p>
      <w:pPr>
        <w:jc w:val="center"/>
      </w:pPr>
      <w:r>
        <w:rPr>
          <w:color w:val="595959"/>
          <w:sz w:val="20"/>
          <w:szCs w:val="20"/>
        </w:rPr>
        <w:t xml:space="preserve">Juillet 2026</w:t>
      </w:r>
    </w:p>
    <w:p>
      <w:pPr>
        <w:pageBreakBefore/>
      </w:pPr>
    </w:p>
    <w:p>
      <w:pPr>
        <w:pStyle w:val="Heading1"/>
        <w:spacing w:after="120" w:before="240"/>
      </w:pPr>
      <w:r>
        <w:t xml:space="preserve">1. Objectif et motivation</w:t>
      </w:r>
    </w:p>
    <w:p>
      <w:pPr>
        <w:pStyle w:val="Heading1"/>
        <w:spacing w:after="120" w:before="240"/>
      </w:pPr>
      <w:r>
        <w:rPr>
          <w:b/>
          <w:color w:val="B03000"/>
          <w:sz w:val="22"/>
        </w:rPr>
        <w:t>⚠️ Avertissement — chiffres antérieurs à la correction du 25/07/2026</w:t>
      </w:r>
    </w:p>
    <w:p>
      <w:pPr>
        <w:pStyle w:val="Heading1"/>
        <w:spacing w:after="120" w:before="240"/>
      </w:pPr>
      <w:r>
        <w:rPr>
          <w:i/>
          <w:sz w:val="19"/>
        </w:rPr>
        <w:t>Deux corrections de données sont intervenues après la rédaction de ce livrable. Tous les ratios de Sharpe qui suivent sont conservés comme le compte rendu honnête de ce que cette phase a mesuré à l'époque — ce ne sont plus les chiffres courants.</w:t>
      </w:r>
    </w:p>
    <w:p>
      <w:pPr>
        <w:pStyle w:val="Heading1"/>
        <w:spacing w:after="120" w:before="240"/>
      </w:pPr>
      <w:r>
        <w:rPr>
          <w:i/>
          <w:sz w:val="19"/>
        </w:rPr>
        <w:t>1. Biais de dividendes BVC. Le pipeline mélangeait deux définitions du rendement : les ETF arrivaient ajustés des dividendes (yfinance auto_adjust=True, rendement total) tandis que les actions BVC arrivaient en prix seul (BVCscrap feature="Value"), écartant 3,0 à 4,3 %/an de dividendes réels. Le biais ne s'annule pas entre stratégies : equal_weight est contraint de détenir les actifs sous-évalués alors que les optimiseurs peuvent les sous-pondérer — il gonflait donc l'avantage mesuré de tout optimiseur. Corrigé par src/dividends.py, qui applique chaque dividende à sa date de détachement.</w:t>
      </w:r>
    </w:p>
    <w:p>
      <w:pPr>
        <w:pStyle w:val="Heading1"/>
        <w:spacing w:after="120" w:before="240"/>
      </w:pPr>
      <w:r>
        <w:rPr>
          <w:i/>
          <w:sz w:val="19"/>
        </w:rPr>
        <w:t>2. Fenêtre ETF profonde. L'univers etf_2017 démarre désormais au 18/11/2004 (création de GLD) et non au 01/01/2017 — l'ancienne date était une décision de projet, pas une limite de données. Cela réduit de 38 % la largeur des intervalles de confiance bootstrap et intègre la crise de 2008.</w:t>
      </w:r>
    </w:p>
    <w:p>
      <w:pPr>
        <w:pStyle w:val="Heading1"/>
        <w:spacing w:after="120" w:before="240"/>
      </w:pPr>
      <w:r>
        <w:rPr>
          <w:i/>
          <w:sz w:val="19"/>
        </w:rPr>
        <w:t>Chiffres courants : haie etf_2017 0,936 → 0.9525 (min_variance_lw) · haie full_2021 0,975 → 1.1644 (max_sharpe) · regime_conditional sur full_2021 1,122 → 1.2363 · gain net +14,3 % → +6.2 %.</w:t>
      </w:r>
    </w:p>
    <w:p>
      <w:pPr>
        <w:pStyle w:val="Heading1"/>
        <w:spacing w:after="120" w:before="240"/>
      </w:pPr>
      <w:r>
        <w:rPr>
          <w:i/>
          <w:sz w:val="19"/>
        </w:rPr>
        <w:t>Les conclusions subsistent ; les amplitudes ont diminué. Deux affirmations sont en revanche rétractées — voir les mentions [RÉTRACTÉ] et [SUPERSÉDÉ] dans le corps du document.</w:t>
      </w:r>
    </w:p>
    <w:p>
      <w:pPr>
        <w:pStyle w:val="Heading1"/>
        <w:spacing w:after="120" w:before="240"/>
      </w:pPr>
      <w:r>
        <w:rPr>
          <w:i/>
          <w:sz w:val="19"/>
        </w:rPr>
        <w:t>Analyse complète : docs/DIVIDEND_BIAS.md et docs/ETF_DEEP_HISTORY_EXPERIMENT.md.</w:t>
      </w:r>
    </w:p>
    <w:p>
      <w:pPr>
        <w:spacing w:after="160"/>
      </w:pPr>
      <w:r>
        <w:t xml:space="preserve">Toutes les phases précédentes rapportaient un ratio de Sharpe </w:t>
      </w:r>
      <w:r>
        <w:rPr>
          <w:i/>
          <w:iCs/>
        </w:rPr>
        <w:t xml:space="preserve">ponctuel</w:t>
      </w:r>
      <w:r>
        <w:t xml:space="preserve">, issu d'un unique passage sur la fenêtre complète. La Phase 4C s'est conclue sur une quasi-égalité (</w:t>
      </w:r>
      <w:r>
        <w:rPr>
          <w:rFonts w:ascii="Consolas" w:cs="Consolas" w:eastAsia="Consolas" w:hAnsi="Consolas"/>
          <w:color w:val="9C2FA6"/>
          <w:sz w:val="20"/>
          <w:szCs w:val="20"/>
        </w:rPr>
        <w:t xml:space="preserve">rf_signal_shrunk</w:t>
      </w:r>
      <w:r>
        <w:t xml:space="preserve"> à 1,117 contre la haie de 1,1215) avec des hyperparamètres </w:t>
      </w:r>
      <w:r>
        <w:rPr>
          <w:b/>
          <w:bCs/>
        </w:rPr>
        <w:t xml:space="preserve">choisis, non optimisés</w:t>
      </w:r>
      <w:r>
        <w:t xml:space="preserve">. La Phase 5 est l'évaluateur honnête : elle sélectionne les hyperparamètres F7 </w:t>
      </w:r>
      <w:r>
        <w:rPr>
          <w:b/>
          <w:bCs/>
        </w:rPr>
        <w:t xml:space="preserve">sans fuite de données</w:t>
      </w:r>
      <w:r>
        <w:t xml:space="preserve">, rapporte le verdict sur des données que la sélection </w:t>
      </w:r>
      <w:r>
        <w:rPr>
          <w:b/>
          <w:bCs/>
        </w:rPr>
        <w:t xml:space="preserve">n'a jamais vues</w:t>
      </w:r>
      <w:r>
        <w:t xml:space="preserve">, et attache un </w:t>
      </w:r>
      <w:r>
        <w:rPr>
          <w:b/>
          <w:bCs/>
        </w:rPr>
        <w:t xml:space="preserve">intervalle de confiance</w:t>
      </w:r>
      <w:r>
        <w:t xml:space="preserve"> à chaque chiffre.</w:t>
      </w:r>
    </w:p>
    <w:p>
      <w:pPr>
        <w:spacing w:after="160"/>
      </w:pPr>
      <w:r>
        <w:t xml:space="preserve">C'est précisément l'exigence du cahier des charges EURAFRIC : «</w:t>
      </w:r>
      <w:r>
        <w:rPr>
          <w:i/>
          <w:iCs/>
        </w:rPr>
        <w:t xml:space="preserve">une attention particulière portée à la robustesse, au risque de surapprentissage</w:t>
      </w:r>
      <w:r>
        <w:t xml:space="preserve"> ». La Phase 5 rend cette attention concrète.</w:t>
      </w:r>
    </w:p>
    <w:p>
      <w:pPr>
        <w:pStyle w:val="Heading1"/>
        <w:spacing w:after="120" w:before="240"/>
      </w:pPr>
      <w:r>
        <w:t xml:space="preserve">2. L'architecture de sélection honnête</w:t>
      </w:r>
    </w:p>
    <w:p>
      <w:pPr>
        <w:spacing w:after="160"/>
      </w:pPr>
      <w:r>
        <w:t xml:space="preserve">Un découpage temporel strict : les derniers </w:t>
      </w:r>
      <w:r>
        <w:rPr>
          <w:b/>
          <w:bCs/>
        </w:rPr>
        <w:t xml:space="preserve">35 %</w:t>
      </w:r>
      <w:r>
        <w:t xml:space="preserve"> de chaque univers forment un </w:t>
      </w:r>
      <w:r>
        <w:rPr>
          <w:b/>
          <w:bCs/>
        </w:rPr>
        <w:t xml:space="preserve">segment de test gelé</w:t>
      </w:r>
      <w:r>
        <w:t xml:space="preserve"> qu'aucun sélecteur ne touche. Sur la partie entraînement+validation, </w:t>
      </w:r>
      <w:r>
        <w:rPr>
          <w:b/>
          <w:bCs/>
        </w:rPr>
        <w:t xml:space="preserve">deux objectifs, deux outils</w:t>
      </w:r>
      <w:r>
        <w:t xml:space="preserve"> (le choix méthodologique délibéré) :</w:t>
      </w:r>
    </w:p>
    <w:p>
      <w:pPr>
        <w:pStyle w:val="ListParagraph"/>
        <w:numPr>
          <w:ilvl w:val="0"/>
          <w:numId w:val="2"/>
        </w:numPr>
        <w:spacing w:after="100"/>
      </w:pPr>
      <w:r>
        <w:rPr>
          <w:b/>
          <w:bCs/>
        </w:rPr>
        <w:t xml:space="preserve">Hyperparamètres ML</w:t>
      </w:r>
      <w:r>
        <w:t xml:space="preserve"> (profondeur/feuilles/taux des RF/XGB) — problème d'échantillons quasi-i.i.d. étiquetés → </w:t>
      </w:r>
      <w:r>
        <w:rPr>
          <w:b/>
          <w:bCs/>
        </w:rPr>
        <w:t xml:space="preserve">K-Fold purgé et embargoé</w:t>
      </w:r>
      <w:r>
        <w:t xml:space="preserve">, noté par le </w:t>
      </w:r>
      <w:r>
        <w:rPr>
          <w:b/>
          <w:bCs/>
        </w:rPr>
        <w:t xml:space="preserve">coefficient d'information</w:t>
      </w:r>
      <w:r>
        <w:t xml:space="preserve"> (corrélation de rang de Spearman entre rendements prédits et réalisés : pour un signal, c'est l'ordre qui doit généraliser).</w:t>
      </w:r>
    </w:p>
    <w:p>
      <w:pPr>
        <w:pStyle w:val="ListParagraph"/>
        <w:numPr>
          <w:ilvl w:val="0"/>
          <w:numId w:val="2"/>
        </w:numPr>
        <w:spacing w:after="100"/>
      </w:pPr>
      <w:r>
        <w:rPr>
          <w:b/>
          <w:bCs/>
        </w:rPr>
        <w:t xml:space="preserve">Leviers de construction de portefeuille</w:t>
      </w:r>
      <w:r>
        <w:t xml:space="preserve"> (</w:t>
      </w:r>
      <w:r>
        <w:rPr>
          <w:rFonts w:ascii="Consolas" w:cs="Consolas" w:eastAsia="Consolas" w:hAnsi="Consolas"/>
          <w:color w:val="9C2FA6"/>
          <w:sz w:val="20"/>
          <w:szCs w:val="20"/>
        </w:rPr>
        <w:t xml:space="preserve">shrinkage_weight</w:t>
      </w:r>
      <w:r>
        <w:t xml:space="preserve">, </w:t>
      </w:r>
      <w:r>
        <w:rPr>
          <w:rFonts w:ascii="Consolas" w:cs="Consolas" w:eastAsia="Consolas" w:hAnsi="Consolas"/>
          <w:color w:val="9C2FA6"/>
          <w:sz w:val="20"/>
          <w:szCs w:val="20"/>
        </w:rPr>
        <w:t xml:space="preserve">turnover_penalty</w:t>
      </w:r>
      <w:r>
        <w:t xml:space="preserve"> par modèle) — objectif de Sharpe net sur une série temporelle → </w:t>
      </w:r>
      <w:r>
        <w:rPr>
          <w:b/>
          <w:bCs/>
        </w:rPr>
        <w:t xml:space="preserve">Sharpe net du segment de validation</w:t>
      </w:r>
      <w:r>
        <w:t xml:space="preserve"> via le vrai moteur. Utiliser le K-Fold ici serait une erreur de catégorie (les rendements de portefeuille sont dépendants, non échangeables).</w:t>
      </w:r>
    </w:p>
    <w:p>
      <w:pPr>
        <w:spacing w:after="160"/>
      </w:pPr>
      <w:r>
        <w:t xml:space="preserve">Ensuite : </w:t>
      </w:r>
      <w:r>
        <w:rPr>
          <w:b/>
          <w:bCs/>
        </w:rPr>
        <w:t xml:space="preserve">GEL</w:t>
      </w:r>
      <w:r>
        <w:t xml:space="preserve">, puis évaluation sur le segment de test aux côtés de </w:t>
      </w:r>
      <w:r>
        <w:rPr>
          <w:rFonts w:ascii="Consolas" w:cs="Consolas" w:eastAsia="Consolas" w:hAnsi="Consolas"/>
          <w:color w:val="9C2FA6"/>
          <w:sz w:val="20"/>
          <w:szCs w:val="20"/>
        </w:rPr>
        <w:t xml:space="preserve">regime_conditional</w:t>
      </w:r>
      <w:r>
        <w:t xml:space="preserve"> (la haie) et </w:t>
      </w:r>
      <w:r>
        <w:rPr>
          <w:rFonts w:ascii="Consolas" w:cs="Consolas" w:eastAsia="Consolas" w:hAnsi="Consolas"/>
          <w:color w:val="9C2FA6"/>
          <w:sz w:val="20"/>
          <w:szCs w:val="20"/>
        </w:rPr>
        <w:t xml:space="preserve">equal_weight</w:t>
      </w:r>
      <w:r>
        <w:t xml:space="preserve"> ré-évalués sur les </w:t>
      </w:r>
      <w:r>
        <w:rPr>
          <w:b/>
          <w:bCs/>
        </w:rPr>
        <w:t xml:space="preserve">mêmes dates de test</w:t>
      </w:r>
      <w:r>
        <w:t xml:space="preserve"> — une comparaison strictement équitable.</w:t>
      </w:r>
    </w:p>
    <w:p>
      <w:pPr>
        <w:spacing w:after="160"/>
      </w:pPr>
      <w:r>
        <w:rPr>
          <w:b/>
          <w:bCs/>
        </w:rPr>
        <w:t xml:space="preserve">Note anti-fuite (P4). </w:t>
      </w:r>
      <w:r>
        <w:t xml:space="preserve">Le module </w:t>
      </w:r>
      <w:r>
        <w:rPr>
          <w:rFonts w:ascii="Consolas" w:cs="Consolas" w:eastAsia="Consolas" w:hAnsi="Consolas"/>
          <w:color w:val="9C2FA6"/>
          <w:sz w:val="20"/>
          <w:szCs w:val="20"/>
        </w:rPr>
        <w:t xml:space="preserve">purged_kfold.py</w:t>
      </w:r>
      <w:r>
        <w:t xml:space="preserve"> (implémentation maison d'après López de Prado 2018 ch.7, </w:t>
      </w:r>
      <w:r>
        <w:rPr>
          <w:b/>
          <w:bCs/>
        </w:rPr>
        <w:t xml:space="preserve">pas mlfinlab</w:t>
      </w:r>
      <w:r>
        <w:t xml:space="preserve">) purge </w:t>
      </w:r>
      <w:r>
        <w:rPr>
          <w:b/>
          <w:bCs/>
        </w:rPr>
        <w:t xml:space="preserve">par date</w:t>
      </w:r>
      <w:r>
        <w:t xml:space="preserve"> sur le panel (Date, ACTIF) — purger par ligne placerait un même jour partiellement en entraînement et en test. Le test </w:t>
      </w:r>
      <w:r>
        <w:rPr>
          <w:rFonts w:ascii="Consolas" w:cs="Consolas" w:eastAsia="Consolas" w:hAnsi="Consolas"/>
          <w:color w:val="9C2FA6"/>
          <w:sz w:val="20"/>
          <w:szCs w:val="20"/>
        </w:rPr>
        <w:t xml:space="preserve">tests/test_purged_kfold.py</w:t>
      </w:r>
      <w:r>
        <w:t xml:space="preserve"> garantit qu'aucun échantillon d'entraînement ne tombe dans [début_test − horizon, fin_test + embargo] ; il doit être vert avant que quoi que ce soit ne le consomme.</w:t>
      </w:r>
    </w:p>
    <w:p>
      <w:pPr>
        <w:pStyle w:val="Heading1"/>
        <w:spacing w:after="120" w:before="240"/>
      </w:pPr>
      <w:r>
        <w:t xml:space="preserve">3. Le verdict hors-échantillon — avec barres d'erreur</w:t>
      </w:r>
    </w:p>
    <w:p>
      <w:pPr>
        <w:spacing w:after="160"/>
      </w:pPr>
      <w:r>
        <w:t xml:space="preserve">Sharpe net du </w:t>
      </w:r>
      <w:r>
        <w:rPr>
          <w:b/>
          <w:bCs/>
        </w:rPr>
        <w:t xml:space="preserve">segment de test</w:t>
      </w:r>
      <w:r>
        <w:t xml:space="preserve"> (fenêtre jamais vue par la sélection), avec intervalle de confiance à 90 % par bootstrap par blocs. </w:t>
      </w:r>
      <w:r>
        <w:rPr>
          <w:b/>
          <w:bCs/>
        </w:rPr>
        <w:t xml:space="preserve">Quand les intervalles se chevauchent, les stratégies sont statistiquement indiscernables</w:t>
      </w:r>
      <w:r>
        <w:t xml:space="preserve">, quelles que soient les estimations ponctuelles.</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2100"/>
        <w:gridCol w:w="2100"/>
        <w:gridCol w:w="1900"/>
      </w:tblGrid>
      <w:tr>
        <w:trPr>
          <w:tblHeader/>
        </w:trPr>
        <w:tc>
          <w:tcPr>
            <w:tcW w:type="dxa" w:w="3200"/>
            <w:shd w:fill="DCE6F1" w:val="clear"/>
            <w:tcMar>
              <w:top w:type="dxa" w:w="80"/>
              <w:left w:type="dxa" w:w="100"/>
              <w:bottom w:type="dxa" w:w="80"/>
              <w:right w:type="dxa" w:w="100"/>
            </w:tcMar>
            <w:vAlign w:val="center"/>
          </w:tcPr>
          <w:p>
            <w:r>
              <w:rPr>
                <w:b/>
                <w:bCs/>
                <w:sz w:val="20"/>
                <w:szCs w:val="20"/>
              </w:rPr>
              <w:t xml:space="preserve">Univers (fenêtre de test)</w:t>
            </w:r>
          </w:p>
        </w:tc>
        <w:tc>
          <w:tcPr>
            <w:tcW w:type="dxa" w:w="2100"/>
            <w:shd w:fill="DCE6F1" w:val="clear"/>
            <w:tcMar>
              <w:top w:type="dxa" w:w="80"/>
              <w:left w:type="dxa" w:w="100"/>
              <w:bottom w:type="dxa" w:w="80"/>
              <w:right w:type="dxa" w:w="100"/>
            </w:tcMar>
            <w:vAlign w:val="center"/>
          </w:tcPr>
          <w:p>
            <w:r>
              <w:rPr>
                <w:b/>
                <w:bCs/>
                <w:sz w:val="20"/>
                <w:szCs w:val="20"/>
              </w:rPr>
              <w:t xml:space="preserve">RF optimisé</w:t>
            </w:r>
          </w:p>
        </w:tc>
        <w:tc>
          <w:tcPr>
            <w:tcW w:type="dxa" w:w="2100"/>
            <w:shd w:fill="DCE6F1" w:val="clear"/>
            <w:tcMar>
              <w:top w:type="dxa" w:w="80"/>
              <w:left w:type="dxa" w:w="100"/>
              <w:bottom w:type="dxa" w:w="80"/>
              <w:right w:type="dxa" w:w="100"/>
            </w:tcMar>
            <w:vAlign w:val="center"/>
          </w:tcPr>
          <w:p>
            <w:r>
              <w:rPr>
                <w:b/>
                <w:bCs/>
                <w:sz w:val="20"/>
                <w:szCs w:val="20"/>
              </w:rPr>
              <w:t xml:space="preserve">XGB optimisé</w:t>
            </w:r>
          </w:p>
        </w:tc>
        <w:tc>
          <w:tcPr>
            <w:tcW w:type="dxa" w:w="2100"/>
            <w:shd w:fill="DCE6F1" w:val="clear"/>
            <w:tcMar>
              <w:top w:type="dxa" w:w="80"/>
              <w:left w:type="dxa" w:w="100"/>
              <w:bottom w:type="dxa" w:w="80"/>
              <w:right w:type="dxa" w:w="100"/>
            </w:tcMar>
            <w:vAlign w:val="center"/>
          </w:tcPr>
          <w:p>
            <w:r>
              <w:rPr>
                <w:b/>
                <w:bCs/>
                <w:sz w:val="20"/>
                <w:szCs w:val="20"/>
              </w:rPr>
              <w:t xml:space="preserve">regime_conditional</w:t>
            </w:r>
          </w:p>
        </w:tc>
        <w:tc>
          <w:tcPr>
            <w:tcW w:type="dxa" w:w="1900"/>
            <w:shd w:fill="DCE6F1" w:val="clear"/>
            <w:tcMar>
              <w:top w:type="dxa" w:w="80"/>
              <w:left w:type="dxa" w:w="100"/>
              <w:bottom w:type="dxa" w:w="80"/>
              <w:right w:type="dxa" w:w="100"/>
            </w:tcMar>
            <w:vAlign w:val="center"/>
          </w:tcPr>
          <w:p>
            <w:r>
              <w:rPr>
                <w:b/>
                <w:bCs/>
                <w:sz w:val="20"/>
                <w:szCs w:val="20"/>
              </w:rPr>
              <w:t xml:space="preserve">equal_weight</w:t>
            </w:r>
          </w:p>
        </w:tc>
      </w:tr>
      <w:tr>
        <w:tc>
          <w:tcPr>
            <w:tcW w:type="dxa" w:w="3200"/>
            <w:tcMar>
              <w:top w:type="dxa" w:w="80"/>
              <w:left w:type="dxa" w:w="100"/>
              <w:bottom w:type="dxa" w:w="80"/>
              <w:right w:type="dxa" w:w="100"/>
            </w:tcMar>
            <w:vAlign w:val="center"/>
          </w:tcPr>
          <w:p>
            <w:r>
              <w:rPr>
                <w:b w:val="false"/>
                <w:bCs w:val="false"/>
                <w:sz w:val="20"/>
                <w:szCs w:val="20"/>
              </w:rPr>
              <w:t xml:space="preserve">etf_2017 (2023-03→2026-07)</w:t>
            </w:r>
          </w:p>
        </w:tc>
        <w:tc>
          <w:tcPr>
            <w:tcW w:type="dxa" w:w="2100"/>
            <w:tcMar>
              <w:top w:type="dxa" w:w="80"/>
              <w:left w:type="dxa" w:w="100"/>
              <w:bottom w:type="dxa" w:w="80"/>
              <w:right w:type="dxa" w:w="100"/>
            </w:tcMar>
            <w:vAlign w:val="center"/>
          </w:tcPr>
          <w:p>
            <w:r>
              <w:rPr>
                <w:b w:val="false"/>
                <w:bCs w:val="false"/>
                <w:sz w:val="20"/>
                <w:szCs w:val="20"/>
              </w:rPr>
              <w:t xml:space="preserve">1,438 [0,70 ; 2,31]</w:t>
            </w:r>
          </w:p>
        </w:tc>
        <w:tc>
          <w:tcPr>
            <w:tcW w:type="dxa" w:w="2100"/>
            <w:tcMar>
              <w:top w:type="dxa" w:w="80"/>
              <w:left w:type="dxa" w:w="100"/>
              <w:bottom w:type="dxa" w:w="80"/>
              <w:right w:type="dxa" w:w="100"/>
            </w:tcMar>
            <w:vAlign w:val="center"/>
          </w:tcPr>
          <w:p>
            <w:r>
              <w:rPr>
                <w:b w:val="false"/>
                <w:bCs w:val="false"/>
                <w:sz w:val="20"/>
                <w:szCs w:val="20"/>
              </w:rPr>
              <w:t xml:space="preserve">1,449 [0,72 ; 2,31]</w:t>
            </w:r>
          </w:p>
        </w:tc>
        <w:tc>
          <w:tcPr>
            <w:tcW w:type="dxa" w:w="2100"/>
            <w:tcMar>
              <w:top w:type="dxa" w:w="80"/>
              <w:left w:type="dxa" w:w="100"/>
              <w:bottom w:type="dxa" w:w="80"/>
              <w:right w:type="dxa" w:w="100"/>
            </w:tcMar>
            <w:vAlign w:val="center"/>
          </w:tcPr>
          <w:p>
            <w:r>
              <w:rPr>
                <w:b w:val="false"/>
                <w:bCs w:val="false"/>
                <w:sz w:val="20"/>
                <w:szCs w:val="20"/>
              </w:rPr>
              <w:t xml:space="preserve">1,373 [0,63 ; 2,20]</w:t>
            </w:r>
          </w:p>
        </w:tc>
        <w:tc>
          <w:tcPr>
            <w:tcW w:type="dxa" w:w="1900"/>
            <w:tcMar>
              <w:top w:type="dxa" w:w="80"/>
              <w:left w:type="dxa" w:w="100"/>
              <w:bottom w:type="dxa" w:w="80"/>
              <w:right w:type="dxa" w:w="100"/>
            </w:tcMar>
            <w:vAlign w:val="center"/>
          </w:tcPr>
          <w:p>
            <w:r>
              <w:rPr>
                <w:b w:val="false"/>
                <w:bCs w:val="false"/>
                <w:sz w:val="20"/>
                <w:szCs w:val="20"/>
              </w:rPr>
              <w:t xml:space="preserve">1,407 [0,67 ; 2,28]</w:t>
            </w:r>
          </w:p>
        </w:tc>
      </w:tr>
      <w:tr>
        <w:tc>
          <w:tcPr>
            <w:tcW w:type="dxa" w:w="3200"/>
            <w:tcMar>
              <w:top w:type="dxa" w:w="80"/>
              <w:left w:type="dxa" w:w="100"/>
              <w:bottom w:type="dxa" w:w="80"/>
              <w:right w:type="dxa" w:w="100"/>
            </w:tcMar>
            <w:vAlign w:val="center"/>
          </w:tcPr>
          <w:p>
            <w:r>
              <w:rPr>
                <w:b w:val="false"/>
                <w:bCs w:val="false"/>
                <w:sz w:val="20"/>
                <w:szCs w:val="20"/>
              </w:rPr>
              <w:t xml:space="preserve">full_2021 (2024-10→2026-07)</w:t>
            </w:r>
          </w:p>
        </w:tc>
        <w:tc>
          <w:tcPr>
            <w:tcW w:type="dxa" w:w="2100"/>
            <w:tcMar>
              <w:top w:type="dxa" w:w="80"/>
              <w:left w:type="dxa" w:w="100"/>
              <w:bottom w:type="dxa" w:w="80"/>
              <w:right w:type="dxa" w:w="100"/>
            </w:tcMar>
            <w:vAlign w:val="center"/>
          </w:tcPr>
          <w:p>
            <w:r>
              <w:rPr>
                <w:b w:val="false"/>
                <w:bCs w:val="false"/>
                <w:sz w:val="20"/>
                <w:szCs w:val="20"/>
              </w:rPr>
              <w:t xml:space="preserve">0,785 [−0,12 ; 1,76]</w:t>
            </w:r>
          </w:p>
        </w:tc>
        <w:tc>
          <w:tcPr>
            <w:tcW w:type="dxa" w:w="2100"/>
            <w:tcMar>
              <w:top w:type="dxa" w:w="80"/>
              <w:left w:type="dxa" w:w="100"/>
              <w:bottom w:type="dxa" w:w="80"/>
              <w:right w:type="dxa" w:w="100"/>
            </w:tcMar>
            <w:vAlign w:val="center"/>
          </w:tcPr>
          <w:p>
            <w:r>
              <w:rPr>
                <w:b w:val="false"/>
                <w:bCs w:val="false"/>
                <w:sz w:val="20"/>
                <w:szCs w:val="20"/>
              </w:rPr>
              <w:t xml:space="preserve">0,886 [−0,06 ; 1,90]</w:t>
            </w:r>
          </w:p>
        </w:tc>
        <w:tc>
          <w:tcPr>
            <w:tcW w:type="dxa" w:w="2100"/>
            <w:tcMar>
              <w:top w:type="dxa" w:w="80"/>
              <w:left w:type="dxa" w:w="100"/>
              <w:bottom w:type="dxa" w:w="80"/>
              <w:right w:type="dxa" w:w="100"/>
            </w:tcMar>
            <w:vAlign w:val="center"/>
          </w:tcPr>
          <w:p>
            <w:r>
              <w:rPr>
                <w:b w:val="false"/>
                <w:bCs w:val="false"/>
                <w:sz w:val="20"/>
                <w:szCs w:val="20"/>
              </w:rPr>
              <w:t xml:space="preserve">1,199 [0,19 ; 2,28]</w:t>
            </w:r>
          </w:p>
        </w:tc>
        <w:tc>
          <w:tcPr>
            <w:tcW w:type="dxa" w:w="1900"/>
            <w:tcMar>
              <w:top w:type="dxa" w:w="80"/>
              <w:left w:type="dxa" w:w="100"/>
              <w:bottom w:type="dxa" w:w="80"/>
              <w:right w:type="dxa" w:w="100"/>
            </w:tcMar>
            <w:vAlign w:val="center"/>
          </w:tcPr>
          <w:p>
            <w:r>
              <w:rPr>
                <w:b w:val="false"/>
                <w:bCs w:val="false"/>
                <w:sz w:val="20"/>
                <w:szCs w:val="20"/>
              </w:rPr>
              <w:t xml:space="preserve">0,866 [−0,20 ; 2,00]</w:t>
            </w:r>
          </w:p>
        </w:tc>
      </w:tr>
    </w:tbl>
    <w:p>
      <w:pPr>
        <w:spacing w:after="200"/>
      </w:pPr>
      <w:r>
        <w:rPr>
          <w:i/>
          <w:iCs/>
        </w:rPr>
        <w:t xml:space="preserve">Sur etf_2017, l'estimation ponctuelle du XGB optimisé dépasse la haie ; sur full_2021, la haie domine. Mais sur les DEUX univers, tous les intervalles de confiance à 90 % se chevauchent largement (~1,5 à 2,4 de Sharpe d'amplitude).</w:t>
      </w:r>
    </w:p>
    <w:p>
      <w:pPr>
        <w:pStyle w:val="Heading1"/>
        <w:spacing w:after="120" w:before="240"/>
      </w:pPr>
      <w:r>
        <w:t xml:space="preserve">4. La conclusion honnête</w:t>
      </w:r>
    </w:p>
    <w:p>
      <w:pPr>
        <w:spacing w:after="160"/>
      </w:pPr>
      <w:r>
        <w:rPr>
          <w:b/>
          <w:bCs/>
        </w:rPr>
        <w:t xml:space="preserve">Énoncée une fois pour qu'elle ne dérive pas : </w:t>
      </w:r>
      <w:r>
        <w:t xml:space="preserve">hors-échantillon, sur données gelées et avec de vraies barres d'erreur, les modèles F7 honnêtement optimisés et la ligne de base </w:t>
      </w:r>
      <w:r>
        <w:rPr>
          <w:rFonts w:ascii="Consolas" w:cs="Consolas" w:eastAsia="Consolas" w:hAnsi="Consolas"/>
          <w:color w:val="9C2FA6"/>
          <w:sz w:val="20"/>
          <w:szCs w:val="20"/>
        </w:rPr>
        <w:t xml:space="preserve">regime_conditional</w:t>
      </w:r>
      <w:r>
        <w:t xml:space="preserve"> sont </w:t>
      </w:r>
      <w:r>
        <w:rPr>
          <w:b/>
          <w:bCs/>
        </w:rPr>
        <w:t xml:space="preserve">statistiquement indiscernables sur les deux univers</w:t>
      </w:r>
      <w:r>
        <w:t xml:space="preserve">. L'estimation ponctuelle gagnante </w:t>
      </w:r>
      <w:r>
        <w:rPr>
          <w:i/>
          <w:iCs/>
        </w:rPr>
        <w:t xml:space="preserve">s'inverse même</w:t>
      </w:r>
      <w:r>
        <w:t xml:space="preserve"> selon l'univers (le XGB optimisé dépasse nominalement la haie sur </w:t>
      </w:r>
      <w:r>
        <w:rPr>
          <w:rFonts w:ascii="Consolas" w:cs="Consolas" w:eastAsia="Consolas" w:hAnsi="Consolas"/>
          <w:color w:val="9C2FA6"/>
          <w:sz w:val="20"/>
          <w:szCs w:val="20"/>
        </w:rPr>
        <w:t xml:space="preserve">etf_2017</w:t>
      </w:r>
      <w:r>
        <w:t xml:space="preserve"> ; la haie mène clairement sur </w:t>
      </w:r>
      <w:r>
        <w:rPr>
          <w:rFonts w:ascii="Consolas" w:cs="Consolas" w:eastAsia="Consolas" w:hAnsi="Consolas"/>
          <w:color w:val="9C2FA6"/>
          <w:sz w:val="20"/>
          <w:szCs w:val="20"/>
        </w:rPr>
        <w:t xml:space="preserve">full_2021</w:t>
      </w:r>
      <w:r>
        <w:t xml:space="preserve">), mais chaque intervalle de confiance est large et chevauchant. Les comparaisons ponctuelles bien nettes des phases 4B–4C (1,117 contre 1,1215) étaient dans le bruit depuis le début.</w:t>
      </w:r>
    </w:p>
    <w:p>
      <w:pPr>
        <w:spacing w:after="160"/>
      </w:pPr>
      <w:r>
        <w:rPr>
          <w:b/>
          <w:bCs/>
        </w:rPr>
        <w:t xml:space="preserve">C'est un résultat fort, pas une déception. </w:t>
      </w:r>
      <w:r>
        <w:t xml:space="preserve">Le Sharpe déflaté de la meilleure stratégie optimisée face à l'ensemble des 36 configurations de la recherche vaut </w:t>
      </w:r>
      <w:r>
        <w:rPr>
          <w:b/>
          <w:bCs/>
        </w:rPr>
        <w:t xml:space="preserve">0,92</w:t>
      </w:r>
      <w:r>
        <w:t xml:space="preserve"> sur </w:t>
      </w:r>
      <w:r>
        <w:rPr>
          <w:rFonts w:ascii="Consolas" w:cs="Consolas" w:eastAsia="Consolas" w:hAnsi="Consolas"/>
          <w:color w:val="9C2FA6"/>
          <w:sz w:val="20"/>
          <w:szCs w:val="20"/>
        </w:rPr>
        <w:t xml:space="preserve">etf_2017</w:t>
      </w:r>
      <w:r>
        <w:t xml:space="preserve"> (crédible) et </w:t>
      </w:r>
      <w:r>
        <w:rPr>
          <w:b/>
          <w:bCs/>
        </w:rPr>
        <w:t xml:space="preserve">0,67</w:t>
      </w:r>
      <w:r>
        <w:t xml:space="preserve"> sur </w:t>
      </w:r>
      <w:r>
        <w:rPr>
          <w:rFonts w:ascii="Consolas" w:cs="Consolas" w:eastAsia="Consolas" w:hAnsi="Consolas"/>
          <w:color w:val="9C2FA6"/>
          <w:sz w:val="20"/>
          <w:szCs w:val="20"/>
        </w:rPr>
        <w:t xml:space="preserve">full_2021</w:t>
      </w:r>
      <w:r>
        <w:t xml:space="preserve"> (possiblement un artefact de sélection). Les coefficients d'information de la validation croisée sont honnêtement faibles (0,015–0,036), comme l'est habituellement la prédiction de rendements financiers.</w:t>
      </w:r>
    </w:p>
    <w:p>
      <w:pPr>
        <w:pStyle w:val="Heading1"/>
        <w:spacing w:after="120" w:before="240"/>
      </w:pPr>
      <w:r>
        <w:t xml:space="preserve">5. Traçabilité P1–P4</w:t>
      </w:r>
    </w:p>
    <w:p>
      <w:pPr>
        <w:pStyle w:val="ListParagraph"/>
        <w:numPr>
          <w:ilvl w:val="0"/>
          <w:numId w:val="2"/>
        </w:numPr>
        <w:spacing w:after="100"/>
      </w:pPr>
      <w:r>
        <w:rPr>
          <w:b/>
          <w:bCs/>
        </w:rPr>
        <w:t xml:space="preserve">P4 (surapprentissage du backtest) — le cœur de la phase : </w:t>
      </w:r>
      <w:r>
        <w:t xml:space="preserve">K-Fold purgé (sélection ML sans fuite), segment de test gelé (verdict jamais vu par la sélection), intervalles de confiance par bootstrap par blocs, et un Sharpe déflaté qui compte </w:t>
      </w:r>
      <w:r>
        <w:rPr>
          <w:i/>
          <w:iCs/>
        </w:rPr>
        <w:t xml:space="preserve">toute</w:t>
      </w:r>
      <w:r>
        <w:t xml:space="preserve"> la recherche (chaque essai de la grille de validation est dans le registre accumulé, </w:t>
      </w:r>
      <w:r>
        <w:rPr>
          <w:rFonts w:ascii="Consolas" w:cs="Consolas" w:eastAsia="Consolas" w:hAnsi="Consolas"/>
          <w:color w:val="9C2FA6"/>
          <w:sz w:val="20"/>
          <w:szCs w:val="20"/>
        </w:rPr>
        <w:t xml:space="preserve">DSRTrialLedger</w:t>
      </w:r>
      <w:r>
        <w:t xml:space="preserve">, clôturant l'écart §17.1).</w:t>
      </w:r>
    </w:p>
    <w:p>
      <w:pPr>
        <w:pStyle w:val="ListParagraph"/>
        <w:numPr>
          <w:ilvl w:val="0"/>
          <w:numId w:val="2"/>
        </w:numPr>
        <w:spacing w:after="100"/>
      </w:pPr>
      <w:r>
        <w:rPr>
          <w:b/>
          <w:bCs/>
        </w:rPr>
        <w:t xml:space="preserve">P1/P2/P3 : </w:t>
      </w:r>
      <w:r>
        <w:t xml:space="preserve">les stratégies évaluées héritent des corrections des phases précédentes (covariance dynamique, régimes HMM, conditionnement au régime) ; la Phase 5 ne les modifie pas — elle les </w:t>
      </w:r>
      <w:r>
        <w:rPr>
          <w:i/>
          <w:iCs/>
        </w:rPr>
        <w:t xml:space="preserve">juge</w:t>
      </w:r>
      <w:r>
        <w:t xml:space="preserve"> honnêtement.</w:t>
      </w:r>
    </w:p>
    <w:p>
      <w:pPr>
        <w:pStyle w:val="Heading1"/>
        <w:spacing w:after="120" w:before="240"/>
      </w:pPr>
      <w:r>
        <w:t xml:space="preserve">6. Limites (restées explicites)</w:t>
      </w:r>
    </w:p>
    <w:p>
      <w:pPr>
        <w:pStyle w:val="ListParagraph"/>
        <w:numPr>
          <w:ilvl w:val="0"/>
          <w:numId w:val="2"/>
        </w:numPr>
        <w:spacing w:after="100"/>
      </w:pPr>
      <w:r>
        <w:t xml:space="preserve">La fenêtre de test </w:t>
      </w:r>
      <w:r>
        <w:rPr>
          <w:rFonts w:ascii="Consolas" w:cs="Consolas" w:eastAsia="Consolas" w:hAnsi="Consolas"/>
          <w:color w:val="9C2FA6"/>
          <w:sz w:val="20"/>
          <w:szCs w:val="20"/>
        </w:rPr>
        <w:t xml:space="preserve">full_2021</w:t>
      </w:r>
      <w:r>
        <w:t xml:space="preserve"> est courte (~1,75 an) — son DSR de 0,67 et ses larges intervalles le reflètent en partie ; un walk-forward imbriqué avec re-sélection périodique (extension documentée) utiliserait toute la fenêtre comme hors-échantillon et constitue la prochaine étape honnête pour un verdict plus serré.</w:t>
      </w:r>
    </w:p>
    <w:p>
      <w:pPr>
        <w:pStyle w:val="ListParagraph"/>
        <w:numPr>
          <w:ilvl w:val="0"/>
          <w:numId w:val="2"/>
        </w:numPr>
        <w:spacing w:after="100"/>
      </w:pPr>
      <w:r>
        <w:t xml:space="preserve">Le N du DSR compte les configurations de </w:t>
      </w:r>
      <w:r>
        <w:rPr>
          <w:i/>
          <w:iCs/>
        </w:rPr>
        <w:t xml:space="preserve">cette</w:t>
      </w:r>
      <w:r>
        <w:t xml:space="preserve"> recherche, non « toutes les expériences jamais menées » (définition délibérément bornée et défendable).</w:t>
      </w:r>
    </w:p>
    <w:p>
      <w:pPr>
        <w:pStyle w:val="ListParagraph"/>
        <w:numPr>
          <w:ilvl w:val="0"/>
          <w:numId w:val="2"/>
        </w:numPr>
        <w:spacing w:after="100"/>
      </w:pPr>
      <w:r>
        <w:t xml:space="preserve">Le LSTM (troisième famille F7) reste reporté depuis la Phase 4B après un segfault torch+xgboost — non abandonné, déféré à un matériel isolé.</w:t>
      </w:r>
    </w:p>
    <w:p>
      <w:pPr>
        <w:pStyle w:val="Heading1"/>
        <w:spacing w:after="120" w:before="240"/>
      </w:pPr>
      <w:r>
        <w:t xml:space="preserve">7. Conclusion</w:t>
      </w:r>
    </w:p>
    <w:p>
      <w:pPr>
        <w:spacing w:after="160"/>
      </w:pPr>
      <w:r>
        <w:t xml:space="preserve">La Phase 5 est l'aboutissement méthodologique du projet. Elle a construit la pile ML complète — détection de régime, covariance dynamique, signaux de prédiction adaptatifs, optimisation sensible aux coûts — puis l'a soumise à l'évaluation qu'exige le problème. Sa conclusion : </w:t>
      </w:r>
      <w:r>
        <w:rPr>
          <w:b/>
          <w:bCs/>
        </w:rPr>
        <w:t xml:space="preserve">la pile ML n'apporte aucun avantage statistiquement significatif</w:t>
      </w:r>
      <w:r>
        <w:t xml:space="preserve"> sur une ligne de base à commutation de régime bien construite, hors-échantillon. </w:t>
      </w:r>
      <w:r>
        <w:rPr>
          <w:b/>
          <w:bCs/>
        </w:rPr>
        <w:t xml:space="preserve">La machinerie d'évaluation qui le prouve rigoureusement — et qui détecterait un vrai avantage si un futur modèle en produisait un — est le livrable.</w:t>
      </w:r>
      <w:r>
        <w:t xml:space="preserve"> Une équipe qui rapporte un résultat nul sans fuite, avec barres d'erreur, comprend le problème bien mieux qu'une équipe qui rapporte un Sharpe gonflé.</w:t>
      </w:r>
    </w:p>
    <w:p>
      <w:pPr>
        <w:pStyle w:val="Heading1"/>
        <w:spacing w:after="120" w:before="240"/>
      </w:pPr>
      <w:r>
        <w:t xml:space="preserve">Références</w:t>
      </w:r>
    </w:p>
    <w:p>
      <w:pPr>
        <w:pStyle w:val="ListParagraph"/>
        <w:numPr>
          <w:ilvl w:val="0"/>
          <w:numId w:val="2"/>
        </w:numPr>
        <w:spacing w:after="100"/>
      </w:pPr>
      <w:r>
        <w:t xml:space="preserve">López de Prado, M. (2018). Advances in Financial Machine Learning. Wiley — ch. 7 (Purged K-Fold), Deflated Sharpe Ratio.</w:t>
      </w:r>
    </w:p>
    <w:p>
      <w:pPr>
        <w:pStyle w:val="ListParagraph"/>
        <w:numPr>
          <w:ilvl w:val="0"/>
          <w:numId w:val="2"/>
        </w:numPr>
        <w:spacing w:after="100"/>
      </w:pPr>
      <w:r>
        <w:t xml:space="preserve">Bailey, D. &amp; López de Prado, M. (2014). The Deflated Sharpe Ratio. Journal of Portfolio Management.</w:t>
      </w:r>
    </w:p>
    <w:p>
      <w:pPr>
        <w:pStyle w:val="ListParagraph"/>
        <w:numPr>
          <w:ilvl w:val="0"/>
          <w:numId w:val="2"/>
        </w:numPr>
        <w:spacing w:after="100"/>
      </w:pPr>
      <w:r>
        <w:t xml:space="preserve">Politis, D. &amp; Romano, J. (1994). The Stationary Bootstrap. JASA — bootstrap par blocs pour séries dépendantes.</w:t>
      </w:r>
    </w:p>
    <w:p>
      <w:pPr>
        <w:pStyle w:val="ListParagraph"/>
        <w:numPr>
          <w:ilvl w:val="0"/>
          <w:numId w:val="2"/>
        </w:numPr>
        <w:spacing w:after="100"/>
      </w:pPr>
      <w:r>
        <w:t xml:space="preserve">Chopra, V. &amp; Ziemba, W. (1993). The Effect of Errors in Means, Variances, and Covariances on Optimal Portfolio Choice.</w:t>
      </w:r>
    </w:p>
    <w:p>
      <w:pPr>
        <w:pStyle w:val="ListParagraph"/>
        <w:numPr>
          <w:ilvl w:val="0"/>
          <w:numId w:val="2"/>
        </w:numPr>
        <w:spacing w:after="100"/>
      </w:pPr>
      <w:r>
        <w:t xml:space="preserve">DeMiguel, V., Garlappi, L. &amp; Uppal, R. (2009). Optimal Versus Naive Diversification — la haie equal_weight de référence.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EURAFRIC Information — PFA INPT — Page </w:t>
    </w:r>
    <w:r>
      <w:rPr>
        <w:color w:val="8080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Phase 5 — Évaluation Hors-Échantillon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Phase 5 — Évaluation Hors-Échantillon</dc:title>
  <dc:creator>Souhail Bourhim</dc:creator>
  <cp:lastModifiedBy>Un-named</cp:lastModifiedBy>
  <cp:revision>1</cp:revision>
  <dcterms:created xsi:type="dcterms:W3CDTF">2026-07-22T00:40:00.167Z</dcterms:created>
  <dcterms:modified xsi:type="dcterms:W3CDTF">2026-07-22T00:40:00.175Z</dcterms:modified>
</cp:coreProperties>
</file>

<file path=docProps/custom.xml><?xml version="1.0" encoding="utf-8"?>
<Properties xmlns="http://schemas.openxmlformats.org/officeDocument/2006/custom-properties" xmlns:vt="http://schemas.openxmlformats.org/officeDocument/2006/docPropsVTypes"/>
</file>