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1F3864"/>
          <w:sz w:val="32"/>
          <w:szCs w:val="32"/>
        </w:rPr>
        <w:t xml:space="preserve">Système d'Optimisation de Portefeuille par Machine Learning</w:t>
      </w:r>
    </w:p>
    <w:p>
      <w:pPr>
        <w:spacing w:after="200"/>
        <w:jc w:val="center"/>
      </w:pPr>
      <w:r>
        <w:rPr>
          <w:b/>
          <w:bCs/>
          <w:sz w:val="26"/>
          <w:szCs w:val="26"/>
        </w:rPr>
        <w:t xml:space="preserve">Livrable de la Phase 5 — Évaluation Hors-Échantillon</w:t>
      </w:r>
    </w:p>
    <w:p>
      <w:pPr>
        <w:spacing w:after="600"/>
        <w:jc w:val="center"/>
      </w:pPr>
      <w:r>
        <w:rPr>
          <w:b w:val="0"/>
          <w:i/>
          <w:iCs/>
          <w:color w:val="595959"/>
          <w:sz w:val="20"/>
          <w:szCs w:val="20"/>
        </w:rPr>
        <w:t>Sélection strictement antérieure · comparaison pairée des différences · intervalles de confiance · Sharpe déflaté</w:t>
      </w:r>
    </w:p>
    <w:p>
      <w:pPr>
        <w:spacing w:after="120"/>
        <w:jc w:val="center"/>
      </w:pPr>
      <w:r>
        <w:rPr>
          <w:sz w:val="22"/>
          <w:szCs w:val="22"/>
        </w:rPr>
        <w:t xml:space="preserve">EURAFRIC Information — Projet de Fin d'Année (PFA)</w:t>
      </w:r>
    </w:p>
    <w:p>
      <w:pPr>
        <w:spacing w:after="120"/>
        <w:jc w:val="center"/>
      </w:pPr>
      <w:r>
        <w:rPr>
          <w:sz w:val="22"/>
          <w:szCs w:val="22"/>
        </w:rPr>
        <w:t xml:space="preserve">Institut National des Postes et Télécommunications (INPT)</w:t>
      </w:r>
    </w:p>
    <w:p>
      <w:pPr>
        <w:spacing w:after="120"/>
        <w:jc w:val="center"/>
      </w:pPr>
      <w:r>
        <w:rPr>
          <w:color w:val="595959"/>
          <w:sz w:val="20"/>
          <w:szCs w:val="20"/>
        </w:rPr>
        <w:t xml:space="preserve">Équipe : Souhail Bourhim · Zakarya EL WALI · Yasmine BOUAJINE</w:t>
      </w:r>
    </w:p>
    <w:p>
      <w:pPr>
        <w:spacing w:after="120"/>
        <w:jc w:val="center"/>
      </w:pPr>
      <w:r>
        <w:rPr>
          <w:color w:val="595959"/>
          <w:sz w:val="20"/>
          <w:szCs w:val="20"/>
        </w:rPr>
        <w:t xml:space="preserve">Encadrant : Abdelmouttalib</w:t>
      </w:r>
    </w:p>
    <w:p>
      <w:pPr>
        <w:jc w:val="center"/>
      </w:pPr>
      <w:r>
        <w:rPr>
          <w:color w:val="595959"/>
          <w:sz w:val="20"/>
          <w:szCs w:val="20"/>
        </w:rPr>
        <w:t xml:space="preserve">Juillet 2026</w:t>
      </w:r>
    </w:p>
    <w:p>
      <w:pPr>
        <w:pageBreakBefore/>
      </w:pPr>
    </w:p>
    <w:p>
      <w:pPr>
        <w:pStyle w:val="Heading1"/>
        <w:spacing w:after="120" w:before="240"/>
      </w:pPr>
      <w:r>
        <w:t xml:space="preserve">1. Objectif et motivation</w:t>
      </w:r>
    </w:p>
    <w:p>
      <w:pPr>
        <w:pStyle w:val="Heading1"/>
        <w:spacing w:after="120" w:before="240"/>
      </w:pPr>
      <w:r>
        <w:rPr>
          <w:b/>
          <w:color w:val="1B5E20"/>
          <w:sz w:val="22"/>
        </w:rPr>
        <w:t>✅ Chiffres recalculés le 27/07/2026 — Phase 5 ré-exécutée sur données corrigées</w:t>
      </w:r>
    </w:p>
    <w:p>
      <w:pPr>
        <w:pStyle w:val="Heading1"/>
        <w:spacing w:after="120" w:before="240"/>
      </w:pPr>
      <w:r>
        <w:rPr>
          <w:b w:val="0"/>
          <w:i/>
          <w:sz w:val="19"/>
        </w:rPr>
        <w:t>Deux corrections de données sont intervenues après la première rédaction de ce livrable. Contrairement aux livrables des phases 2, 4, 4B et 4C — annotés mais non recalculés — la Phase 5 a été INTÉGRALEMENT RÉ-EXÉCUTÉE sur les données corrigées le 27/07/2026, puis de nouveau après le remplacement du sélecteur par une validation strictement antérieure : choix des hyperparamètres, choix des leviers et test gelé refaits de bout en bout. Les chiffres de ce document sont ceux de cette dernière exécution.</w:t>
      </w:r>
    </w:p>
    <w:p>
      <w:pPr>
        <w:pStyle w:val="Heading1"/>
        <w:spacing w:after="120" w:before="240"/>
      </w:pPr>
      <w:r>
        <w:rPr>
          <w:i/>
          <w:sz w:val="19"/>
        </w:rPr>
        <w:t>1. Biais de dividendes BVC. Le pipeline mélangeait deux définitions du rendement : les ETF arrivaient ajustés des dividendes (yfinance auto_adjust=True, rendement total) tandis que les actions BVC arrivaient en prix seul (BVCscrap feature="Value"), écartant 3,0 à 4,3 %/an de dividendes réels. Le biais ne s'annule pas entre stratégies : equal_weight est contraint de détenir les actifs sous-évalués alors que les optimiseurs peuvent les sous-pondérer — il gonflait donc l'avantage mesuré de tout optimiseur. Corrigé par src/dividends.py, qui applique chaque dividende à sa date de détachement.</w:t>
      </w:r>
    </w:p>
    <w:p>
      <w:pPr>
        <w:pStyle w:val="Heading1"/>
        <w:spacing w:after="120" w:before="240"/>
      </w:pPr>
      <w:r>
        <w:rPr>
          <w:i/>
          <w:sz w:val="19"/>
        </w:rPr>
        <w:t>2. Fenêtre ETF profonde. L'univers etf_2017 démarre désormais au 18/11/2004 (création de GLD) et non au 01/01/2017 — l'ancienne date était une décision de projet, pas une limite de données. Le segment de test gelé de cet univers passe de 3,3 à 7,6 ans (2018-12→2026-07) et contient désormais le krach COVID de 2020 et le choc de taux de 2022 en données réellement non vues.</w:t>
      </w:r>
    </w:p>
    <w:p>
      <w:pPr>
        <w:pStyle w:val="Heading1"/>
        <w:spacing w:after="120" w:before="240"/>
      </w:pPr>
      <w:r>
        <w:rPr>
          <w:i/>
          <w:sz w:val="19"/>
        </w:rPr>
        <w:t>Conséquence majeure : les DEUX verdicts se sont inversés. Sur etf_2017, le XGB optimisé passait devant la haie (1,449 contre 1,373) ; il lui est désormais inférieur, et aucun modèle optimisé ne la dépasse (1,093 pour regime_conditional contre 1,089 pour le meilleur modèle optimisé). Sur full_2021, la haie dominait nettement (1,199 contre 0,886) ; c'est maintenant le XGB optimisé qui la dépasse (1,308 contre 1,213).</w:t>
      </w:r>
    </w:p>
    <w:p>
      <w:pPr>
        <w:pStyle w:val="Heading1"/>
        <w:spacing w:after="120" w:before="240"/>
      </w:pPr>
      <w:r>
        <w:rPr>
          <w:i/>
          <w:sz w:val="19"/>
        </w:rPr>
        <w:t>Cette inversion RENFORCE la conclusion de la phase au lieu de l'affaiblir. Le classement ponctuel change de signe sur les deux univers à la fois alors que tous les intervalles de confiance restent larges et chevauchants : c'est la démonstration la plus directe que ces comparaisons ponctuelles relevaient du bruit, exactement ce que la Phase 5 affirmait. La précision de la sélection a par ailleurs progressé — largeur d'intervalle réduite de 28 % sur etf_2017 et Sharpe déflaté porté à 0,99 (contre 0,92) et 0,87 (contre 0,67).</w:t>
      </w:r>
    </w:p>
    <w:p>
      <w:pPr>
        <w:pStyle w:val="Heading1"/>
        <w:spacing w:after="120" w:before="240"/>
      </w:pPr>
      <w:r>
        <w:rPr>
          <w:i/>
          <w:sz w:val="19"/>
        </w:rPr>
        <w:t>Analyse complète : docs/DIVIDEND_BIAS.md et docs/ETF_DEEP_HISTORY_EXPERIMENT.md.</w:t>
      </w:r>
    </w:p>
    <w:p>
      <w:pPr>
        <w:spacing w:after="160"/>
      </w:pPr>
      <w:r>
        <w:t xml:space="preserve">Toutes les phases précédentes rapportaient un ratio de Sharpe </w:t>
      </w:r>
      <w:r>
        <w:rPr>
          <w:i/>
          <w:iCs/>
        </w:rPr>
        <w:t xml:space="preserve">ponctuel</w:t>
      </w:r>
      <w:r>
        <w:t xml:space="preserve">, issu d'un unique passage sur la fenêtre complète. La Phase 4C s'est conclue sur une quasi-égalité (</w:t>
      </w:r>
      <w:r>
        <w:rPr>
          <w:rFonts w:ascii="Consolas" w:cs="Consolas" w:eastAsia="Consolas" w:hAnsi="Consolas"/>
          <w:color w:val="9C2FA6"/>
          <w:sz w:val="20"/>
          <w:szCs w:val="20"/>
        </w:rPr>
        <w:t xml:space="preserve">rf_signal_shrunk</w:t>
      </w:r>
      <w:r>
        <w:t xml:space="preserve"> à 1,117 contre la haie de 1,1215) avec des hyperparamètres </w:t>
      </w:r>
      <w:r>
        <w:rPr>
          <w:b/>
          <w:bCs/>
        </w:rPr>
        <w:t xml:space="preserve">choisis, non optimisés</w:t>
      </w:r>
      <w:r>
        <w:t xml:space="preserve">. La Phase 5 est l'évaluateur honnête : elle sélectionne les hyperparamètres F7 </w:t>
      </w:r>
      <w:r>
        <w:rPr>
          <w:b/>
          <w:bCs/>
        </w:rPr>
        <w:t xml:space="preserve">sans fuite de données</w:t>
      </w:r>
      <w:r>
        <w:t xml:space="preserve">, rapporte le verdict sur des données que la sélection </w:t>
      </w:r>
      <w:r>
        <w:rPr>
          <w:b/>
          <w:bCs/>
        </w:rPr>
        <w:t xml:space="preserve">n'a jamais vues</w:t>
      </w:r>
      <w:r>
        <w:t xml:space="preserve">, et attache un </w:t>
      </w:r>
      <w:r>
        <w:rPr>
          <w:b/>
          <w:bCs/>
        </w:rPr>
        <w:t xml:space="preserve">intervalle de confiance</w:t>
      </w:r>
      <w:r>
        <w:t xml:space="preserve"> à chaque chiffre.</w:t>
      </w:r>
    </w:p>
    <w:p>
      <w:pPr>
        <w:spacing w:after="160"/>
      </w:pPr>
      <w:r>
        <w:t xml:space="preserve">C'est précisément l'exigence du cahier des charges EURAFRIC : «</w:t>
      </w:r>
      <w:r>
        <w:rPr>
          <w:i/>
          <w:iCs/>
        </w:rPr>
        <w:t xml:space="preserve">une attention particulière portée à la robustesse, au risque de surapprentissage</w:t>
      </w:r>
      <w:r>
        <w:t xml:space="preserve"> ». La Phase 5 rend cette attention concrète.</w:t>
      </w:r>
    </w:p>
    <w:p>
      <w:pPr>
        <w:pStyle w:val="Heading1"/>
        <w:spacing w:after="120" w:before="240"/>
      </w:pPr>
      <w:r>
        <w:t xml:space="preserve">2. L'architecture de sélection honnête</w:t>
      </w:r>
    </w:p>
    <w:p>
      <w:pPr>
        <w:spacing w:after="160"/>
      </w:pPr>
      <w:r>
        <w:t xml:space="preserve">Un découpage temporel strict : les derniers </w:t>
      </w:r>
      <w:r>
        <w:rPr>
          <w:b/>
          <w:bCs/>
        </w:rPr>
        <w:t xml:space="preserve">35 %</w:t>
      </w:r>
      <w:r>
        <w:t xml:space="preserve"> de chaque univers forment un </w:t>
      </w:r>
      <w:r>
        <w:rPr>
          <w:b/>
          <w:bCs/>
        </w:rPr>
        <w:t xml:space="preserve">segment de test gelé</w:t>
      </w:r>
      <w:r>
        <w:t xml:space="preserve"> qu'aucun sélecteur ne touche. Sur la partie entraînement+validation, </w:t>
      </w:r>
      <w:r>
        <w:rPr>
          <w:b/>
          <w:bCs/>
        </w:rPr>
        <w:t xml:space="preserve">deux objectifs, deux outils</w:t>
      </w:r>
      <w:r>
        <w:t xml:space="preserve"> (le choix méthodologique délibéré) :</w:t>
      </w:r>
    </w:p>
    <w:p>
      <w:pPr>
        <w:pStyle w:val="ListParagraph"/>
        <w:numPr>
          <w:ilvl w:val="0"/>
          <w:numId w:val="2"/>
        </w:numPr>
        <w:spacing w:after="100"/>
      </w:pPr>
      <w:r>
        <w:rPr>
          <w:b/>
          <w:bCs/>
        </w:rPr>
        <w:t xml:space="preserve">Hyperparamètres ML (profondeur/feuilles/taux des RF/XGB) — </w:t>
      </w:r>
      <w:r>
        <w:rPr>
          <w:b w:val="0"/>
          <w:bCs/>
        </w:rPr>
        <w:t>sélection strictement ANTÉRIEURE (PurgedWalkForwardSplit : 5 plis à origine glissante, embargo 5 jours, horizon d'étiquette 1 jour), notée par le coefficient d'information (corrélation de rang de Spearman entre rendements prédits et réalisés : pour un signal, c'est l'ordre qui doit généraliser).</w:t>
      </w:r>
    </w:p>
    <w:p>
      <w:pPr>
        <w:pStyle w:val="ListParagraph"/>
        <w:numPr>
          <w:ilvl w:val="0"/>
          <w:numId w:val="2"/>
        </w:numPr>
        <w:spacing w:after="100"/>
      </w:pPr>
      <w:r>
        <w:rPr>
          <w:b/>
          <w:bCs/>
        </w:rPr>
        <w:t xml:space="preserve">Leviers de construction de portefeuille</w:t>
      </w:r>
      <w:r>
        <w:t xml:space="preserve"> (</w:t>
      </w:r>
      <w:r>
        <w:rPr>
          <w:rFonts w:ascii="Consolas" w:cs="Consolas" w:eastAsia="Consolas" w:hAnsi="Consolas"/>
          <w:color w:val="9C2FA6"/>
          <w:sz w:val="20"/>
          <w:szCs w:val="20"/>
        </w:rPr>
        <w:t xml:space="preserve">shrinkage_weight</w:t>
      </w:r>
      <w:r>
        <w:t xml:space="preserve">, </w:t>
      </w:r>
      <w:r>
        <w:rPr>
          <w:rFonts w:ascii="Consolas" w:cs="Consolas" w:eastAsia="Consolas" w:hAnsi="Consolas"/>
          <w:color w:val="9C2FA6"/>
          <w:sz w:val="20"/>
          <w:szCs w:val="20"/>
        </w:rPr>
        <w:t xml:space="preserve">turnover_penalty</w:t>
      </w:r>
      <w:r>
        <w:t xml:space="preserve"> par modèle) — objectif de Sharpe net sur une série temporelle → </w:t>
      </w:r>
      <w:r>
        <w:rPr>
          <w:b/>
          <w:bCs/>
        </w:rPr>
        <w:t xml:space="preserve">Sharpe net du segment de validation</w:t>
      </w:r>
      <w:r>
        <w:t xml:space="preserve"> via le vrai moteur. Utiliser le K-Fold ici serait une erreur de catégorie (les rendements de portefeuille sont dépendants, non échangeables).</w:t>
      </w:r>
    </w:p>
    <w:p>
      <w:pPr>
        <w:spacing w:after="160"/>
      </w:pPr>
      <w:r>
        <w:t xml:space="preserve">Ensuite : </w:t>
      </w:r>
      <w:r>
        <w:rPr>
          <w:b/>
          <w:bCs/>
        </w:rPr>
        <w:t xml:space="preserve">GEL</w:t>
      </w:r>
      <w:r>
        <w:t xml:space="preserve">, puis évaluation sur le segment de test aux côtés de </w:t>
      </w:r>
      <w:r>
        <w:rPr>
          <w:rFonts w:ascii="Consolas" w:cs="Consolas" w:eastAsia="Consolas" w:hAnsi="Consolas"/>
          <w:color w:val="9C2FA6"/>
          <w:sz w:val="20"/>
          <w:szCs w:val="20"/>
        </w:rPr>
        <w:t xml:space="preserve">regime_conditional</w:t>
      </w:r>
      <w:r>
        <w:t xml:space="preserve"> (la haie) et </w:t>
      </w:r>
      <w:r>
        <w:rPr>
          <w:rFonts w:ascii="Consolas" w:cs="Consolas" w:eastAsia="Consolas" w:hAnsi="Consolas"/>
          <w:color w:val="9C2FA6"/>
          <w:sz w:val="20"/>
          <w:szCs w:val="20"/>
        </w:rPr>
        <w:t xml:space="preserve">equal_weight</w:t>
      </w:r>
      <w:r>
        <w:t xml:space="preserve"> ré-évalués sur les </w:t>
      </w:r>
      <w:r>
        <w:rPr>
          <w:b/>
          <w:bCs/>
        </w:rPr>
        <w:t xml:space="preserve">mêmes dates de test</w:t>
      </w:r>
      <w:r>
        <w:t xml:space="preserve"> — une comparaison strictement équitable.</w:t>
      </w:r>
    </w:p>
    <w:p>
      <w:pPr>
        <w:spacing w:after="160"/>
      </w:pPr>
      <w:r>
        <w:rPr>
          <w:b/>
          <w:bCs/>
        </w:rPr>
        <w:t xml:space="preserve">Note anti-fuite (P4). </w:t>
      </w:r>
      <w:r>
        <w:rPr>
          <w:b w:val="0"/>
          <w:bCs/>
        </w:rPr>
        <w:t>Le K-Fold purgé canonique de López de Prado autorise l'entraînement des deux CÔTÉS du pli de validation : défendable pour des étiquettes chevauchantes, mais il note un pli de 2018 avec un modèle partiellement ajusté sur 2019–2024, une question qu'aucun allocataire réel ne peut poser. La sélection utilise donc purged_walk_forward : chaque pli vérifie max(entraînement) &lt; min(validation), affirmé au moment du découpage plutôt que supposé, et une histoire insuffisante lève une erreur au lieu de produire silencieusement moins de plis. PurgedKFold reste dans le dépôt et reste testé : la fonction n'a pas changé de sens, c'est l'appelant qui a changé d'outil.</w:t>
      </w:r>
    </w:p>
    <w:p>
      <w:pPr>
        <w:pStyle w:val="Heading1"/>
        <w:spacing w:after="120" w:before="240"/>
      </w:pPr>
      <w:r>
        <w:t xml:space="preserve">3. Le verdict hors-échantillon — avec barres d'erreur</w:t>
      </w:r>
    </w:p>
    <w:p>
      <w:pPr>
        <w:spacing w:after="160"/>
      </w:pPr>
      <w:r>
        <w:rPr>
          <w:b w:val="0"/>
        </w:rPr>
        <w:t>Sharpe net du segment de test (fenêtre jamais vue par la sélection), avec intervalle de confiance à 90 % par bootstrap par blocs. Ces intervalles sont MARGINAUX : leur chevauchement ne teste pas la différence entre deux stratégies et n'autorise à conclure ni à une supériorité ni à une équivalence. Le test de la différence est en §4 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50"/>
        <w:gridCol w:w="1644"/>
        <w:gridCol w:w="1644"/>
        <w:gridCol w:w="1644"/>
        <w:gridCol w:w="1644"/>
      </w:tblGrid>
      <w:tr>
        <w:trPr>
          <w:tblHeader/>
        </w:trPr>
        <w:tc>
          <w:tcPr>
            <w:tcW w:type="dxa" w:w="2450"/>
            <w:shd w:fill="DCE6F1" w:val="clear"/>
            <w:tcMar>
              <w:top w:type="dxa" w:w="80"/>
              <w:left w:type="dxa" w:w="100"/>
              <w:bottom w:type="dxa" w:w="80"/>
              <w:right w:type="dxa" w:w="100"/>
            </w:tcMar>
            <w:vAlign w:val="center"/>
          </w:tcPr>
          <w:p>
            <w:r>
              <w:rPr>
                <w:b/>
                <w:bCs/>
                <w:sz w:val="17"/>
                <w:szCs w:val="20"/>
              </w:rPr>
              <w:t xml:space="preserve">Univers (fenêtre de test)</w:t>
            </w:r>
          </w:p>
        </w:tc>
        <w:tc>
          <w:tcPr>
            <w:tcW w:type="dxa" w:w="1644"/>
            <w:shd w:fill="DCE6F1" w:val="clear"/>
            <w:tcMar>
              <w:top w:type="dxa" w:w="80"/>
              <w:left w:type="dxa" w:w="100"/>
              <w:bottom w:type="dxa" w:w="80"/>
              <w:right w:type="dxa" w:w="100"/>
            </w:tcMar>
            <w:vAlign w:val="center"/>
          </w:tcPr>
          <w:p>
            <w:r>
              <w:rPr>
                <w:b/>
                <w:bCs/>
                <w:sz w:val="17"/>
                <w:szCs w:val="20"/>
              </w:rPr>
              <w:t xml:space="preserve">RF optimisé</w:t>
            </w:r>
          </w:p>
        </w:tc>
        <w:tc>
          <w:tcPr>
            <w:tcW w:type="dxa" w:w="1644"/>
            <w:shd w:fill="DCE6F1" w:val="clear"/>
            <w:tcMar>
              <w:top w:type="dxa" w:w="80"/>
              <w:left w:type="dxa" w:w="100"/>
              <w:bottom w:type="dxa" w:w="80"/>
              <w:right w:type="dxa" w:w="100"/>
            </w:tcMar>
            <w:vAlign w:val="center"/>
          </w:tcPr>
          <w:p>
            <w:r>
              <w:rPr>
                <w:b/>
                <w:bCs/>
                <w:sz w:val="17"/>
                <w:szCs w:val="20"/>
              </w:rPr>
              <w:t xml:space="preserve">XGB optimisé</w:t>
            </w:r>
          </w:p>
        </w:tc>
        <w:tc>
          <w:tcPr>
            <w:tcW w:type="dxa" w:w="1644"/>
            <w:shd w:fill="DCE6F1" w:val="clear"/>
            <w:tcMar>
              <w:top w:type="dxa" w:w="80"/>
              <w:left w:type="dxa" w:w="100"/>
              <w:bottom w:type="dxa" w:w="80"/>
              <w:right w:type="dxa" w:w="100"/>
            </w:tcMar>
            <w:vAlign w:val="center"/>
          </w:tcPr>
          <w:p>
            <w:r>
              <w:rPr>
                <w:b/>
                <w:bCs/>
                <w:sz w:val="17"/>
                <w:szCs w:val="20"/>
              </w:rPr>
              <w:t xml:space="preserve">regime_conditional</w:t>
            </w:r>
          </w:p>
        </w:tc>
        <w:tc>
          <w:tcPr>
            <w:tcW w:type="dxa" w:w="1644"/>
            <w:shd w:fill="DCE6F1" w:val="clear"/>
            <w:tcMar>
              <w:top w:type="dxa" w:w="80"/>
              <w:left w:type="dxa" w:w="100"/>
              <w:bottom w:type="dxa" w:w="80"/>
              <w:right w:type="dxa" w:w="100"/>
            </w:tcMar>
            <w:vAlign w:val="center"/>
          </w:tcPr>
          <w:p>
            <w:r>
              <w:rPr>
                <w:b/>
                <w:bCs/>
                <w:sz w:val="17"/>
                <w:szCs w:val="20"/>
              </w:rPr>
              <w:t xml:space="preserve">equal_weight</w:t>
            </w:r>
          </w:p>
        </w:tc>
      </w:tr>
      <w:tr>
        <w:tc>
          <w:tcPr>
            <w:tcW w:type="dxa" w:w="2450"/>
            <w:tcMar>
              <w:top w:type="dxa" w:w="80"/>
              <w:left w:type="dxa" w:w="100"/>
              <w:bottom w:type="dxa" w:w="80"/>
              <w:right w:type="dxa" w:w="100"/>
            </w:tcMar>
            <w:vAlign w:val="center"/>
          </w:tcPr>
          <w:p>
            <w:r>
              <w:rPr>
                <w:b w:val="false"/>
                <w:bCs w:val="false"/>
                <w:sz w:val="17"/>
                <w:szCs w:val="20"/>
              </w:rPr>
              <w:t>etf_2017 (2018-12→2026-07)</w:t>
            </w:r>
          </w:p>
        </w:tc>
        <w:tc>
          <w:tcPr>
            <w:tcW w:type="dxa" w:w="1644"/>
            <w:tcMar>
              <w:top w:type="dxa" w:w="80"/>
              <w:left w:type="dxa" w:w="100"/>
              <w:bottom w:type="dxa" w:w="80"/>
              <w:right w:type="dxa" w:w="100"/>
            </w:tcMar>
            <w:vAlign w:val="center"/>
          </w:tcPr>
          <w:p>
            <w:r>
              <w:rPr>
                <w:b w:val="0"/>
                <w:bCs w:val="false"/>
                <w:sz w:val="17"/>
                <w:szCs w:val="20"/>
              </w:rPr>
              <w:t>1,102 [0,52 ; 1,68]</w:t>
            </w:r>
          </w:p>
        </w:tc>
        <w:tc>
          <w:tcPr>
            <w:tcW w:type="dxa" w:w="1644"/>
            <w:tcMar>
              <w:top w:type="dxa" w:w="80"/>
              <w:left w:type="dxa" w:w="100"/>
              <w:bottom w:type="dxa" w:w="80"/>
              <w:right w:type="dxa" w:w="100"/>
            </w:tcMar>
            <w:vAlign w:val="center"/>
          </w:tcPr>
          <w:p>
            <w:r>
              <w:rPr>
                <w:b w:val="0"/>
                <w:bCs w:val="false"/>
                <w:sz w:val="17"/>
                <w:szCs w:val="20"/>
              </w:rPr>
              <w:t>0,944 [0,39 ; 1,54]</w:t>
            </w:r>
          </w:p>
        </w:tc>
        <w:tc>
          <w:tcPr>
            <w:tcW w:type="dxa" w:w="1644"/>
            <w:tcMar>
              <w:top w:type="dxa" w:w="80"/>
              <w:left w:type="dxa" w:w="100"/>
              <w:bottom w:type="dxa" w:w="80"/>
              <w:right w:type="dxa" w:w="100"/>
            </w:tcMar>
            <w:vAlign w:val="center"/>
          </w:tcPr>
          <w:p>
            <w:r>
              <w:rPr>
                <w:b w:val="false"/>
                <w:bCs w:val="false"/>
                <w:sz w:val="17"/>
                <w:szCs w:val="20"/>
              </w:rPr>
              <w:t>1,093 [0,50 ; 1,68]</w:t>
            </w:r>
          </w:p>
        </w:tc>
        <w:tc>
          <w:tcPr>
            <w:tcW w:type="dxa" w:w="1644"/>
            <w:tcMar>
              <w:top w:type="dxa" w:w="80"/>
              <w:left w:type="dxa" w:w="100"/>
              <w:bottom w:type="dxa" w:w="80"/>
              <w:right w:type="dxa" w:w="100"/>
            </w:tcMar>
            <w:vAlign w:val="center"/>
          </w:tcPr>
          <w:p>
            <w:r>
              <w:rPr>
                <w:b w:val="false"/>
                <w:bCs w:val="false"/>
                <w:sz w:val="17"/>
                <w:szCs w:val="20"/>
              </w:rPr>
              <w:t>0,982 [0,41 ; 1,58]</w:t>
            </w:r>
          </w:p>
        </w:tc>
      </w:tr>
      <w:tr>
        <w:tc>
          <w:tcPr>
            <w:tcW w:type="dxa" w:w="2450"/>
            <w:tcMar>
              <w:top w:type="dxa" w:w="80"/>
              <w:left w:type="dxa" w:w="100"/>
              <w:bottom w:type="dxa" w:w="80"/>
              <w:right w:type="dxa" w:w="100"/>
            </w:tcMar>
            <w:vAlign w:val="center"/>
          </w:tcPr>
          <w:p>
            <w:r>
              <w:rPr>
                <w:b w:val="false"/>
                <w:bCs w:val="false"/>
                <w:sz w:val="17"/>
                <w:szCs w:val="20"/>
              </w:rPr>
              <w:t>full_2021 (2024-10→2026-07)</w:t>
            </w:r>
          </w:p>
        </w:tc>
        <w:tc>
          <w:tcPr>
            <w:tcW w:type="dxa" w:w="1644"/>
            <w:tcMar>
              <w:top w:type="dxa" w:w="80"/>
              <w:left w:type="dxa" w:w="100"/>
              <w:bottom w:type="dxa" w:w="80"/>
              <w:right w:type="dxa" w:w="100"/>
            </w:tcMar>
            <w:vAlign w:val="center"/>
          </w:tcPr>
          <w:p>
            <w:r>
              <w:rPr>
                <w:b w:val="0"/>
                <w:bCs w:val="false"/>
                <w:sz w:val="17"/>
                <w:szCs w:val="20"/>
              </w:rPr>
              <w:t>1,001 [0,06 ; 2,06]</w:t>
            </w:r>
          </w:p>
        </w:tc>
        <w:tc>
          <w:tcPr>
            <w:tcW w:type="dxa" w:w="1644"/>
            <w:tcMar>
              <w:top w:type="dxa" w:w="80"/>
              <w:left w:type="dxa" w:w="100"/>
              <w:bottom w:type="dxa" w:w="80"/>
              <w:right w:type="dxa" w:w="100"/>
            </w:tcMar>
            <w:vAlign w:val="center"/>
          </w:tcPr>
          <w:p>
            <w:r>
              <w:rPr>
                <w:b w:val="false"/>
                <w:bCs w:val="false"/>
                <w:sz w:val="17"/>
                <w:szCs w:val="20"/>
              </w:rPr>
              <w:t>1,308 [0,22 ; 2,48]</w:t>
            </w:r>
          </w:p>
        </w:tc>
        <w:tc>
          <w:tcPr>
            <w:tcW w:type="dxa" w:w="1644"/>
            <w:tcMar>
              <w:top w:type="dxa" w:w="80"/>
              <w:left w:type="dxa" w:w="100"/>
              <w:bottom w:type="dxa" w:w="80"/>
              <w:right w:type="dxa" w:w="100"/>
            </w:tcMar>
            <w:vAlign w:val="center"/>
          </w:tcPr>
          <w:p>
            <w:r>
              <w:rPr>
                <w:b w:val="false"/>
                <w:bCs w:val="false"/>
                <w:sz w:val="17"/>
                <w:szCs w:val="20"/>
              </w:rPr>
              <w:t>1,213 [0,18 ; 2,35]</w:t>
            </w:r>
          </w:p>
        </w:tc>
        <w:tc>
          <w:tcPr>
            <w:tcW w:type="dxa" w:w="1644"/>
            <w:tcMar>
              <w:top w:type="dxa" w:w="80"/>
              <w:left w:type="dxa" w:w="100"/>
              <w:bottom w:type="dxa" w:w="80"/>
              <w:right w:type="dxa" w:w="100"/>
            </w:tcMar>
            <w:vAlign w:val="center"/>
          </w:tcPr>
          <w:p>
            <w:r>
              <w:rPr>
                <w:b w:val="false"/>
                <w:bCs w:val="false"/>
                <w:sz w:val="17"/>
                <w:szCs w:val="20"/>
              </w:rPr>
              <w:t>1,003 [−0,09 ; 2,24]</w:t>
            </w:r>
          </w:p>
        </w:tc>
      </w:tr>
    </w:tbl>
    <w:p>
      <w:pPr>
        <w:spacing w:after="200"/>
      </w:pPr>
      <w:r>
        <w:rPr>
          <w:i/>
          <w:iCs/>
        </w:rPr>
        <w:t>Sur etf_2017, la haie regime_conditional conserve la meilleure estimation ponctuelle et aucun modèle optimisé ne la dépasse ; sur full_2021, c'est l'inverse — le XGB optimisé passe devant elle. Mais sur les DEUX univers, tous les intervalles de confiance à 90 % se chevauchent largement (~1,14 à 2,33 de Sharpe d'amplitude).</w:t>
      </w:r>
    </w:p>
    <w:p>
      <w:pPr>
        <w:pStyle w:val="Heading1"/>
        <w:spacing w:after="120" w:before="240"/>
      </w:pPr>
      <w:r>
        <w:t xml:space="preserve">4. La conclusion honnête</w:t>
      </w:r>
    </w:p>
    <w:p>
      <w:pPr>
        <w:spacing w:after="160"/>
      </w:pPr>
      <w:r>
        <w:rPr>
          <w:b/>
          <w:bCs/>
        </w:rPr>
        <w:t xml:space="preserve">Énoncée une fois pour qu'elle ne dérive pas : </w:t>
      </w:r>
      <w:r>
        <w:rPr>
          <w:b w:val="0"/>
          <w:bCs/>
        </w:rPr>
        <w:t>hors-échantillon, sur données gelées et avec de vraies barres d'erreur, AUCUNE comparaison pairée n'établit de surperformance des modèles F7 honnêtement optimisés sur la ligne de base regime_conditional, ni l'inverse, sur aucun des deux univers (§4 ter). L'estimation ponctuelle gagnante s'inverse même selon l'univers, soit l'inverse exact de l'évaluation précédente. Ce changement de signe obtenu en corrigeant les données et non en cherchant un résultat est la démonstration la plus nette que ces classements ponctuels relèvent du bruit. Les comparaisons apparemment tranchées des phases 4B–4C étaient dans le bruit depuis le début. Formulation à conserver : on ne dit ni « supérieur » ni « équivalent » sans test pairé.</w:t>
      </w:r>
    </w:p>
    <w:p>
      <w:pPr>
        <w:spacing w:after="160"/>
      </w:pPr>
      <w:r>
        <w:rPr>
          <w:b w:val="0"/>
          <w:bCs/>
        </w:rPr>
        <w:t>C'est un résultat fort, pas une déception. Le Sharpe déflaté de la meilleure stratégie optimisée face à l'ensemble des 51 configurations de la recherche vaut 0,986 sur etf_2017 (crédible) et 0,853 sur full_2021 (le plus fragile des deux). Ce N a lui-même été corrigé : le registre ne consignait que les essais de leviers et omettait la grille d'hyperparamètres ML, sous-estimant l'ampleur de la recherche. Les coefficients d'information de la validation croisée restent honnêtement faibles, comme l'est habituellement la prédiction de rendements financiers — ils ont pourtant à peu près doublé avec l'historique étendu, sans que le portefeuille en profite : la quatrième confirmation du plafond « précision de prédiction ≠ performance du portefeuille ».</w:t>
      </w:r>
    </w:p>
    <w:p>
      <w:pPr>
        <w:pStyle w:val="Heading1"/>
        <w:spacing w:after="120" w:before="240"/>
      </w:pPr>
      <w:r>
        <w:rPr/>
        <w:t>4 bis. Prolongement — le walk-forward imbriqué (28/07/2026)</w:t>
      </w:r>
    </w:p>
    <w:p>
      <w:pPr>
        <w:spacing w:after="160"/>
      </w:pPr>
      <w:r>
        <w:rPr/>
        <w:t>La section 6 ci-dessous désignait le walk-forward imbriqué comme « la prochaine étape honnête » pour resserrer le verdict sur full_2021. Cette étape a été réalisée le 28/07/2026 ; ce paragraphe en rend compte, et la limite correspondante est mise à jour en conséquence.</w:t>
      </w:r>
    </w:p>
    <w:p>
      <w:pPr>
        <w:spacing w:after="160"/>
      </w:pPr>
      <w:r>
        <w:rPr/>
        <w:t>Protocole. Au lieu de sélectionner une fois et de tester une fois sur les derniers 35 %, la configuration F7 est re-sélectionnée à 6 frontières successives, chaque segment hors échantillon étant ensuite concaténé. La sélection ne voit jamais sa propre fenêtre d'évaluation : à chaque pli, hyperparamètres et leviers proviennent strictement des données antérieures au pli. Résultat : 793 lignes hors échantillon (2023-07-12 → 2026-07-24) contre 455 pour le découpage unique, soit 1,74 fois plus.</w:t>
      </w:r>
    </w:p>
    <w:p>
      <w:pPr>
        <w:spacing w:after="160"/>
      </w:pPr>
      <w:r>
        <w:rPr/>
        <w:t>Premier résultat, le plus robuste : la largeur moyenne des intervalles de confiance passe de 2,221 à 1,587, soit une réduction de 28,6 % — meilleure que les 24,3 % qu'un simple effet de taille d'échantillon prédirait. Le Sharpe déflaté du gagnant atteint 0,835 sur 198 configurations, contre 0,67 sur 36 au découpage unique : recherche plus large ET gagnant plus robuste.</w:t>
      </w:r>
    </w:p>
    <w:p>
      <w:pPr>
        <w:spacing w:after="160"/>
      </w:pPr>
      <w:r>
        <w:rPr/>
        <w:t>Deuxième résultat : toutes les bornes inférieures sont désormais positives (0,478 à 0,893). Au découpage unique, celle de equal_weight descendait à −0,090 et celle de rf_signal_tuned à 0,048. Sur cet univers, chaque stratégie examinée est maintenant crédiblement positive hors échantillon — c'est un changement réel de ce qui peut être affirmé.</w:t>
      </w:r>
    </w:p>
    <w:p>
      <w:pPr>
        <w:spacing w:after="160"/>
      </w:pPr>
      <w:r>
        <w:rPr/>
        <w:t>Avertissement à ne pas mésinterpréter : la hausse des NIVEAUX est un effet de période, pas une amélioration. Le Sharpe ponctuel de TOUTES les stratégies augmente (regime_conditional 1,213 → 1,672, equal_weight 1,003 → 1,284), simplement parce que la fenêtre imbriquée commence en 2023-07 et non en 2024-10. Seules les comparaisons internes à un même passage ont un sens.</w:t>
      </w:r>
    </w:p>
    <w:p>
      <w:pPr>
        <w:spacing w:after="160"/>
      </w:pPr>
      <w:r>
        <w:rPr/>
        <w:t>Conséquence sur le verdict de la section 3 : au sein du passage imbriqué, regime_conditional reprend la tête (1,672 contre 1,436 pour le XGB optimisé), soit l'inverse du découpage unique — et un TROISIÈME ordre différent en trois évaluations de full_2021. La lecture honnête n'est pas « le régime l'emporte finalement » mais que l'ordre ponctuel est instable au protocole d'évaluation, ce que cette phase concluait déjà. L'estimation imbriquée mérite le plus de poids (74 % de données hors échantillon en plus, intervalles les plus étroits), mais [0,89 ; 2,51] et [0,70 ; 2,26] se chevauchent presque intégralement : aucune significativité, dans aucun sens. La conclusion de la section 4 est donc inchangée. Analyse complète : docs/NESTED_WALKFORWARD_EXPERIMENT.md.</w:t>
      </w:r>
    </w:p>
    <w:p>
      <w:pPr>
        <w:pStyle w:val="Heading1"/>
        <w:spacing w:after="120" w:before="240"/>
      </w:pPr>
      <w:r>
        <w:rPr>
          <w:b w:val="0"/>
        </w:rPr>
        <w:t>4 ter. Le test qui manquait — comparaison pairée des différences</w:t>
      </w:r>
    </w:p>
    <w:p>
      <w:pPr>
        <w:spacing w:after="160"/>
      </w:pPr>
      <w:r>
        <w:rPr>
          <w:b w:val="0"/>
        </w:rPr>
        <w:t>La conclusion ci-dessus reposait sur des intervalles de confiance MARGINAUX, un par stratégie. Or le chevauchement de deux intervalles marginaux n'est pas un test de leur différence : les stratégies partagent les mêmes journées de marché, leurs erreurs sont corrélées, et deux intervalles peuvent se recouvrir largement alors que l'écart pairé est systématiquement d'un même signe. L'inverse vaut aussi : un non-chevauchement n'établirait pas davantage une différence.</w:t>
      </w:r>
    </w:p>
    <w:p>
      <w:pPr>
        <w:spacing w:after="160"/>
      </w:pPr>
      <w:r>
        <w:rPr>
          <w:b w:val="0"/>
        </w:rPr>
        <w:t>L'instrument manquant est un bootstrap par blocs PAIRÉ sur les mêmes dates de la fenêtre gelée, net de coûts : les deux séries sont rééchantillonnées avec les MÊMES indices de blocs, ce qui préserve la dépendance sérielle de chaque stratégie et la corrélation intra-journalière entre elles. La p-value est centrée sous l'hypothèse nulle — les différences rééchantillonnées sont recentrées sur zéro, puis on mesure la part de cette distribution au-delà de l'écart observé. Ce n'est pas la fraction brute de tirages positifs, rapportée séparément et jamais présentée comme une p-value.</w:t>
      </w:r>
    </w:p>
    <w:p>
      <w:pPr>
        <w:spacing w:after="160"/>
      </w:pPr>
      <w:r>
        <w:rPr>
          <w:b w:val="0"/>
        </w:rPr>
        <w:t>Résultat : sur les 8 comparaisons pairées, aucune n'établit de surperformance — tous les intervalles contiennent zéro et les p-values s'échelonnent de 0,066 à 0,939. Le cas à isoler est exactement celui que ce test sert à révéler : sur full_2021, le XGB optimisé obtient 1,308 contre 1,213 pour la stratégie à régimes et l'artefact l'enregistre comme dépassant la haie, mais le test pairé donne un écart de 0,096, IC 90 % [−0,315 ; 0,541], p = 0,361. Le classement ponctuel n'est pas soutenu par les données. Ce n'est pas non plus une démonstration d'équivalence : ne pas rejeter n'est pas accepter l'hypothèse nulle.</w:t>
      </w:r>
    </w:p>
    <w:p>
      <w:pPr>
        <w:spacing w:after="160"/>
      </w:pPr>
      <w:r>
        <w:rPr>
          <w:b w:val="0"/>
        </w:rPr>
        <w:t>Correction pour tests multiples : NON ÉTABLIE, et déclarée comme telle. Un test de White ou de Hansen exige la série de rendements sur la fenêtre gelée de CHAQUE configuration explorée ; seules les configurations finalement retenues en disposent. L'appliquer au sous-ensemble disponible sous-estimerait l'ampleur de la recherche et se lirait comme une fausse assurance.</w:t>
      </w:r>
    </w:p>
    <w:p>
      <w:pPr>
        <w:pStyle w:val="Heading1"/>
        <w:spacing w:after="120" w:before="240"/>
      </w:pPr>
      <w:r>
        <w:t xml:space="preserve">5. Traçabilité P1–P4</w:t>
      </w:r>
    </w:p>
    <w:p>
      <w:pPr>
        <w:pStyle w:val="ListParagraph"/>
        <w:numPr>
          <w:ilvl w:val="0"/>
          <w:numId w:val="2"/>
        </w:numPr>
        <w:spacing w:after="100"/>
      </w:pPr>
      <w:r>
        <w:rPr>
          <w:b/>
          <w:bCs/>
        </w:rPr>
        <w:t xml:space="preserve">P4 (surapprentissage du backtest) — le cœur de la phase : </w:t>
      </w:r>
      <w:r>
        <w:rPr>
          <w:b w:val="0"/>
          <w:bCs/>
        </w:rPr>
        <w:t>sélection strictement antérieure (aucun pli n'entraîne après sa fenêtre de validation), segment de test gelé (verdict jamais vu par la sélection), bootstrap par blocs PAIRÉ sur les différences (le seul instrument qui teste une comparaison), intervalles de confiance, et un Sharpe déflaté qui compte toute la recherche — grille ML comprise, ce que le registre omettait.</w:t>
      </w:r>
    </w:p>
    <w:p>
      <w:pPr>
        <w:pStyle w:val="ListParagraph"/>
        <w:numPr>
          <w:ilvl w:val="0"/>
          <w:numId w:val="2"/>
        </w:numPr>
        <w:spacing w:after="100"/>
      </w:pPr>
      <w:r>
        <w:rPr>
          <w:b/>
          <w:bCs/>
        </w:rPr>
        <w:t xml:space="preserve">P1/P2/P3 : </w:t>
      </w:r>
      <w:r>
        <w:t xml:space="preserve">les stratégies évaluées héritent des corrections des phases précédentes (covariance dynamique, régimes HMM, conditionnement au régime) ; la Phase 5 ne les modifie pas — elle les </w:t>
      </w:r>
      <w:r>
        <w:rPr>
          <w:i/>
          <w:iCs/>
        </w:rPr>
        <w:t xml:space="preserve">juge</w:t>
      </w:r>
      <w:r>
        <w:t xml:space="preserve"> honnêtement.</w:t>
      </w:r>
    </w:p>
    <w:p>
      <w:pPr>
        <w:pStyle w:val="Heading1"/>
        <w:spacing w:after="120" w:before="240"/>
      </w:pPr>
      <w:r>
        <w:t xml:space="preserve">6. Limites (restées explicites)</w:t>
      </w:r>
    </w:p>
    <w:p>
      <w:pPr>
        <w:pStyle w:val="ListParagraph"/>
        <w:numPr>
          <w:ilvl w:val="0"/>
          <w:numId w:val="2"/>
        </w:numPr>
        <w:spacing w:after="100"/>
      </w:pPr>
      <w:r>
        <w:rPr/>
        <w:t>La fenêtre de test full_2021 du découpage unique est courte (~1,75 an) et ses intervalles sont les plus larges de l'étude. Cette limite a été TRAITÉE le 28/07/2026 par le walk-forward imbriqué (section 4 bis) : 793 lignes hors échantillon au lieu de 455, largeur moyenne des intervalles réduite de 28,6 %, et toutes les bornes inférieures devenues positives. Elle n'est donc plus une limite ouverte mais un point résolu, au prix d'un avertissement : les niveaux de Sharpe des deux protocoles ne sont pas comparables entre eux (fenêtres différentes). La fenêtre etf_2017 n'était déjà plus concernée : elle couvre 7,6 ans.</w:t>
      </w:r>
    </w:p>
    <w:p>
      <w:pPr>
        <w:pStyle w:val="ListParagraph"/>
        <w:numPr>
          <w:ilvl w:val="0"/>
          <w:numId w:val="2"/>
        </w:numPr>
        <w:spacing w:after="100"/>
      </w:pPr>
      <w:r>
        <w:t xml:space="preserve">Le N du DSR compte les configurations de </w:t>
      </w:r>
      <w:r>
        <w:rPr>
          <w:i/>
          <w:iCs/>
        </w:rPr>
        <w:t xml:space="preserve">cette</w:t>
      </w:r>
      <w:r>
        <w:t xml:space="preserve"> recherche, non « toutes les expériences jamais menées » (définition délibérément bornée et défendable).</w:t>
      </w:r>
    </w:p>
    <w:p>
      <w:pPr>
        <w:pStyle w:val="ListParagraph"/>
        <w:numPr>
          <w:ilvl w:val="0"/>
          <w:numId w:val="2"/>
        </w:numPr>
        <w:spacing w:after="100"/>
      </w:pPr>
      <w:r>
        <w:t xml:space="preserve">Le LSTM (troisième famille F7) reste reporté depuis la Phase 4B après un segfault torch+xgboost — non abandonné, déféré à un matériel isolé.</w:t>
      </w:r>
    </w:p>
    <w:p>
      <w:pPr>
        <w:pStyle w:val="Heading1"/>
        <w:spacing w:after="120" w:before="240"/>
      </w:pPr>
      <w:r>
        <w:t xml:space="preserve">7. Conclusion</w:t>
      </w:r>
    </w:p>
    <w:p>
      <w:pPr>
        <w:spacing w:after="160"/>
      </w:pPr>
      <w:r>
        <w:rPr>
          <w:b w:val="0"/>
        </w:rPr>
        <w:t>La Phase 5 est l'aboutissement méthodologique du projet. Elle a construit la pile ML complète — détection de régime, covariance dynamique, signaux de prédiction adaptatifs, optimisation sensible aux coûts — puis l'a soumise à l'évaluation qu'exige le problème. Sa conclusion : aucune comparaison pairée n'établit d'avantage de la pile ML sur une ligne de base à commutation de régime bien construite, hors-échantillon. La machinerie d'évaluation qui le montre rigoureusement — et qui détecterait un vrai avantage si un futur modèle en produisait un — est le livrable. Une équipe qui rapporte un résultat nul sans fuite, avec barres d'erreur et un test de la différence, comprend le problème bien mieux qu'une équipe qui rapporte un Sharpe gonflé.</w:t>
      </w:r>
    </w:p>
    <w:p>
      <w:pPr>
        <w:pStyle w:val="Heading1"/>
        <w:spacing w:after="120" w:before="240"/>
      </w:pPr>
      <w:r>
        <w:t xml:space="preserve">Références</w:t>
      </w:r>
    </w:p>
    <w:p>
      <w:pPr>
        <w:pStyle w:val="ListParagraph"/>
        <w:numPr>
          <w:ilvl w:val="0"/>
          <w:numId w:val="2"/>
        </w:numPr>
        <w:spacing w:after="100"/>
      </w:pPr>
      <w:r>
        <w:t xml:space="preserve">López de Prado, M. (2018). Advances in Financial Machine Learning. Wiley — ch. 7 (Purged K-Fold), Deflated Sharpe Ratio.</w:t>
      </w:r>
    </w:p>
    <w:p>
      <w:pPr>
        <w:pStyle w:val="ListParagraph"/>
        <w:numPr>
          <w:ilvl w:val="0"/>
          <w:numId w:val="2"/>
        </w:numPr>
        <w:spacing w:after="100"/>
      </w:pPr>
      <w:r>
        <w:t xml:space="preserve">Bailey, D. &amp; López de Prado, M. (2014). The Deflated Sharpe Ratio. Journal of Portfolio Management.</w:t>
      </w:r>
    </w:p>
    <w:p>
      <w:pPr>
        <w:pStyle w:val="ListParagraph"/>
        <w:numPr>
          <w:ilvl w:val="0"/>
          <w:numId w:val="2"/>
        </w:numPr>
        <w:spacing w:after="100"/>
      </w:pPr>
      <w:r>
        <w:t xml:space="preserve">Politis, D. &amp; Romano, J. (1994). The Stationary Bootstrap. JASA — bootstrap par blocs pour séries dépendantes.</w:t>
      </w:r>
    </w:p>
    <w:p>
      <w:pPr>
        <w:pStyle w:val="ListParagraph"/>
        <w:numPr>
          <w:ilvl w:val="0"/>
          <w:numId w:val="2"/>
        </w:numPr>
        <w:spacing w:after="100"/>
      </w:pPr>
      <w:r>
        <w:t xml:space="preserve">Chopra, V. &amp; Ziemba, W. (1993). The Effect of Errors in Means, Variances, and Covariances on Optimal Portfolio Choice.</w:t>
      </w:r>
    </w:p>
    <w:p>
      <w:pPr>
        <w:pStyle w:val="ListParagraph"/>
        <w:numPr>
          <w:ilvl w:val="0"/>
          <w:numId w:val="2"/>
        </w:numPr>
        <w:spacing w:after="100"/>
      </w:pPr>
      <w:r>
        <w:t xml:space="preserve">DeMiguel, V., Garlappi, L. &amp; Uppal, R. (2009). Optimal Versus Naive Diversification — la haie equal_weight de référence.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EURAFRIC Information — PFA INPT — Page </w:t>
    </w:r>
    <w:r>
      <w:rPr>
        <w:color w:val="80808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Phase 5 — Évaluation Hors-Échantillon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1F3864"/>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Livrable Phase 5 — Évaluation Hors-Échantillon</dc:title>
  <dc:creator>Souhail Bourhim</dc:creator>
  <cp:lastModifiedBy>Un-named</cp:lastModifiedBy>
  <cp:revision>1</cp:revision>
  <dcterms:created xsi:type="dcterms:W3CDTF">2026-07-22T00:40:00.167Z</dcterms:created>
  <dcterms:modified xsi:type="dcterms:W3CDTF">2026-07-22T00:40:00.175Z</dcterms:modified>
</cp:coreProperties>
</file>

<file path=docProps/custom.xml><?xml version="1.0" encoding="utf-8"?>
<Properties xmlns="http://schemas.openxmlformats.org/officeDocument/2006/custom-properties" xmlns:vt="http://schemas.openxmlformats.org/officeDocument/2006/docPropsVTypes"/>
</file>