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300"/>
        <w:jc w:val="center"/>
      </w:pPr>
      <w:r>
        <w:rPr>
          <w:b/>
          <w:bCs/>
          <w:color w:val="1F3864"/>
          <w:sz w:val="32"/>
          <w:szCs w:val="32"/>
        </w:rPr>
        <w:t xml:space="preserve">Système d'Optimisation de Portefeuille par Machine Learning</w:t>
      </w:r>
    </w:p>
    <w:p>
      <w:pPr>
        <w:spacing w:after="200"/>
        <w:jc w:val="center"/>
      </w:pPr>
      <w:r>
        <w:rPr>
          <w:b/>
          <w:bCs/>
          <w:sz w:val="26"/>
          <w:szCs w:val="26"/>
        </w:rPr>
        <w:t>Annexe — Métriques d'évaluation</w:t>
      </w:r>
    </w:p>
    <w:p>
      <w:pPr>
        <w:spacing w:after="600"/>
        <w:jc w:val="center"/>
      </w:pPr>
      <w:r>
        <w:rPr>
          <w:i/>
          <w:iCs/>
          <w:color w:val="595959"/>
          <w:sz w:val="20"/>
          <w:szCs w:val="20"/>
        </w:rPr>
        <w:t>Inventaire raisonné : définition, convention et rôle de chaque mesure employée dans le projet</w:t>
      </w:r>
    </w:p>
    <w:p>
      <w:pPr>
        <w:spacing w:after="120"/>
        <w:jc w:val="center"/>
      </w:pPr>
      <w:r>
        <w:rPr>
          <w:sz w:val="22"/>
          <w:szCs w:val="22"/>
        </w:rPr>
        <w:t xml:space="preserve">EURAFRIC Information — Projet de Fin d'Année (PFA)</w:t>
      </w:r>
    </w:p>
    <w:p>
      <w:pPr>
        <w:spacing w:after="120"/>
        <w:jc w:val="center"/>
      </w:pPr>
      <w:r>
        <w:rPr>
          <w:sz w:val="22"/>
          <w:szCs w:val="22"/>
        </w:rPr>
        <w:t xml:space="preserve">Institut National des Postes et Télécommunications (INPT)</w:t>
      </w:r>
    </w:p>
    <w:p>
      <w:pPr>
        <w:spacing w:after="120"/>
        <w:jc w:val="center"/>
      </w:pPr>
      <w:r>
        <w:rPr>
          <w:color w:val="595959"/>
          <w:sz w:val="20"/>
          <w:szCs w:val="20"/>
        </w:rPr>
        <w:t xml:space="preserve">Équipe : Souhail Bourhim · Zakarya EL WALI · Yasmine BOUAJINE</w:t>
      </w:r>
    </w:p>
    <w:p>
      <w:pPr>
        <w:spacing w:after="120"/>
        <w:jc w:val="center"/>
      </w:pPr>
      <w:r>
        <w:rPr>
          <w:color w:val="595959"/>
          <w:sz w:val="20"/>
          <w:szCs w:val="20"/>
        </w:rPr>
        <w:t xml:space="preserve">Encadrant : Abdelmouttalib</w:t>
      </w:r>
    </w:p>
    <w:p>
      <w:pPr>
        <w:jc w:val="center"/>
      </w:pPr>
      <w:r>
        <w:rPr>
          <w:color w:val="595959"/>
          <w:sz w:val="20"/>
          <w:szCs w:val="20"/>
        </w:rPr>
        <w:t xml:space="preserve">Juillet 2026</w:t>
      </w:r>
    </w:p>
    <w:p>
      <w:pPr>
        <w:pStyle w:val="Heading1"/>
        <w:spacing w:after="120" w:before="240"/>
      </w:pPr>
      <w:r>
        <w:rPr>
          <w:b/>
        </w:rPr>
        <w:t>1. Objet de ce document</w:t>
      </w:r>
    </w:p>
    <w:p>
      <w:pPr>
        <w:spacing w:after="160"/>
      </w:pPr>
      <w:r>
        <w:rPr>
          <w:color w:val="000000"/>
        </w:rPr>
        <w:t>Ce projet mobilise une vingtaine de mesures distinctes, réparties sur quatre couches : performance du portefeuille, contrôle du surapprentissage, sélection de modèle et diagnostic des données. Elles ne répondent pas à la même question et ne se lisent pas de la même façon. Cette annexe les recense en un seul endroit, avec pour chacune sa définition exacte, la convention retenue et — le point essentiel — la RAISON de sa présence.</w:t>
      </w:r>
    </w:p>
    <w:p>
      <w:pPr>
        <w:spacing w:after="160"/>
      </w:pPr>
      <w:r>
        <w:rPr>
          <w:color w:val="000000"/>
        </w:rPr>
        <w:t>La distinction structurante : les mesures de la section 3 répondent à « quelle est la performance ? », celles des sections 4 et 7 à « ce résultat est-il réel ? ». La seconde question est celle qui distingue ce projet, et c'est aussi celle qu'un backtest sur-optimisé ne pose jamais.</w:t>
      </w:r>
    </w:p>
    <w:p>
      <w:pPr>
        <w:pStyle w:val="Heading1"/>
        <w:spacing w:after="120" w:before="240"/>
      </w:pPr>
      <w:r>
        <w:rPr>
          <w:b/>
        </w:rPr>
        <w:t>2. Conventions transversales</w:t>
      </w:r>
    </w:p>
    <w:p>
      <w:pPr>
        <w:spacing w:after="160"/>
      </w:pPr>
      <w:r>
        <w:rPr>
          <w:color w:val="000000"/>
        </w:rPr>
        <w:t>Quatre règles s'appliquent à toutes les mesures de performance, sans exception. Elles sont énoncées ici une fois pour ne pas être répétées ensuite.</w:t>
      </w:r>
    </w:p>
    <w:p>
      <w:pPr>
        <w:pStyle w:val="ListParagraph"/>
        <w:numPr>
          <w:ilvl w:val="0"/>
          <w:numId w:val="2"/>
        </w:numPr>
        <w:spacing w:after="100"/>
      </w:pPr>
      <w:r>
        <w:rPr>
          <w:bCs/>
          <w:color w:val="000000"/>
        </w:rPr>
        <w:t>Rendements simples, jamais logarithmiques. La couche Gold stocke des log-rendements (additifs dans le temps), mais une somme pondérée de log-rendements N'EST PAS un rendement de portefeuille. Le moteur convertit en rendements simples (exp(r) − 1) avant toute agrégation, et metrics.py n'opère que sur ces derniers. Mélanger les deux fausse silencieusement la performance.</w:t>
      </w:r>
    </w:p>
    <w:p>
      <w:pPr>
        <w:pStyle w:val="ListParagraph"/>
        <w:numPr>
          <w:ilvl w:val="0"/>
          <w:numId w:val="2"/>
        </w:numPr>
        <w:spacing w:after="100"/>
      </w:pPr>
      <w:r>
        <w:rPr>
          <w:bCs/>
          <w:color w:val="000000"/>
        </w:rPr>
        <w:t>Hors échantillon uniquement. Le Sharpe in-sample d'un portefeuille optimisé est biaisé à la hausse par construction ; il n'est jamais rapporté.</w:t>
      </w:r>
    </w:p>
    <w:p>
      <w:pPr>
        <w:pStyle w:val="ListParagraph"/>
        <w:numPr>
          <w:ilvl w:val="0"/>
          <w:numId w:val="2"/>
        </w:numPr>
        <w:spacing w:after="100"/>
      </w:pPr>
      <w:r>
        <w:rPr>
          <w:bCs/>
          <w:color w:val="000000"/>
        </w:rPr>
        <w:t>Brut ET net, toujours côte à côte. Une stratégie qui gagne en brut et perd en net est un RÉSULTAT, pas un détail de présentation — c'est précisément le diagnostic qui a fondé la Phase 4C.</w:t>
      </w:r>
    </w:p>
    <w:p>
      <w:pPr>
        <w:pStyle w:val="ListParagraph"/>
        <w:numPr>
          <w:ilvl w:val="0"/>
          <w:numId w:val="2"/>
        </w:numPr>
        <w:spacing w:after="100"/>
      </w:pPr>
      <w:r>
        <w:rPr>
          <w:bCs/>
          <w:color w:val="000000"/>
        </w:rPr>
        <w:t>Taux sans risque à zéro, paramétré (params.yaml). Simplification MVP documentée : un taux « réaliste » poserait de toute façon la question insoluble du mélange USD/MAD.</w:t>
      </w:r>
    </w:p>
    <w:p>
      <w:pPr>
        <w:pStyle w:val="Heading1"/>
        <w:spacing w:after="120" w:before="240"/>
      </w:pPr>
      <w:r>
        <w:rPr>
          <w:b/>
        </w:rPr>
        <w:t>3. Mesures de performance — ce que le portefeuille a fait</w:t>
      </w:r>
    </w:p>
    <w:p>
      <w:pPr>
        <w:spacing w:after="160"/>
      </w:pPr>
      <w:r>
        <w:rPr>
          <w:color w:val="000000"/>
        </w:rPr>
        <w:t>Toutes implémentées dans src/metrics.py et agrégées par une fonction unique, summarize(), utilisée par le runner, le notebook et MLflow — de sorte qu'aucun recalcul ad hoc ne puisse diverger.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100"/>
        <w:gridCol w:w="4226"/>
      </w:tblGrid>
      <w:tr>
        <w:trPr>
          <w:tblHeader/>
        </w:trPr>
        <w:tc>
          <w:tcPr>
            <w:tcW w:type="dxa" w:w="1700"/>
            <w:shd w:val="clear" w:fill="DCE6F1"/>
            <w:tcMar>
              <w:top w:type="dxa" w:w="80"/>
              <w:left w:type="dxa" w:w="100"/>
              <w:bottom w:type="dxa" w:w="80"/>
              <w:right w:type="dxa" w:w="100"/>
            </w:tcMar>
            <w:vAlign w:val="center"/>
          </w:tcPr>
          <w:p>
            <w:r>
              <w:rPr>
                <w:b/>
                <w:bCs/>
                <w:sz w:val="17"/>
                <w:szCs w:val="20"/>
              </w:rPr>
              <w:t>Mesure</w:t>
            </w:r>
          </w:p>
        </w:tc>
        <w:tc>
          <w:tcPr>
            <w:tcW w:type="dxa" w:w="3100"/>
            <w:shd w:val="clear" w:fill="DCE6F1"/>
            <w:tcMar>
              <w:top w:type="dxa" w:w="80"/>
              <w:left w:type="dxa" w:w="100"/>
              <w:bottom w:type="dxa" w:w="80"/>
              <w:right w:type="dxa" w:w="100"/>
            </w:tcMar>
            <w:vAlign w:val="center"/>
          </w:tcPr>
          <w:p>
            <w:r>
              <w:rPr>
                <w:b/>
                <w:bCs/>
                <w:sz w:val="17"/>
                <w:szCs w:val="20"/>
              </w:rPr>
              <w:t>Définition</w:t>
            </w:r>
          </w:p>
        </w:tc>
        <w:tc>
          <w:tcPr>
            <w:tcW w:type="dxa" w:w="4226"/>
            <w:shd w:val="clear" w:fill="DCE6F1"/>
            <w:tcMar>
              <w:top w:type="dxa" w:w="80"/>
              <w:left w:type="dxa" w:w="100"/>
              <w:bottom w:type="dxa" w:w="80"/>
              <w:right w:type="dxa" w:w="100"/>
            </w:tcMar>
            <w:vAlign w:val="center"/>
          </w:tcPr>
          <w:p>
            <w:r>
              <w:rPr>
                <w:b/>
                <w:bCs/>
                <w:sz w:val="17"/>
                <w:szCs w:val="20"/>
              </w:rPr>
              <w:t>Pourquoi elle est présente</w:t>
            </w:r>
          </w:p>
        </w:tc>
      </w:tr>
      <w:tr>
        <w:trPr>
          <w:tblHeader/>
        </w:trPr>
        <w:tc>
          <w:tcPr>
            <w:tcW w:type="dxa" w:w="1700"/>
            <w:tcMar>
              <w:top w:type="dxa" w:w="80"/>
              <w:left w:type="dxa" w:w="100"/>
              <w:bottom w:type="dxa" w:w="80"/>
              <w:right w:type="dxa" w:w="100"/>
            </w:tcMar>
            <w:vAlign w:val="center"/>
          </w:tcPr>
          <w:p>
            <w:r>
              <w:rPr>
                <w:b w:val="0"/>
                <w:bCs/>
                <w:sz w:val="17"/>
                <w:szCs w:val="20"/>
              </w:rPr>
              <w:t>Rendement annualisé</w:t>
            </w:r>
          </w:p>
        </w:tc>
        <w:tc>
          <w:tcPr>
            <w:tcW w:type="dxa" w:w="3100"/>
            <w:tcMar>
              <w:top w:type="dxa" w:w="80"/>
              <w:left w:type="dxa" w:w="100"/>
              <w:bottom w:type="dxa" w:w="80"/>
              <w:right w:type="dxa" w:w="100"/>
            </w:tcMar>
            <w:vAlign w:val="center"/>
          </w:tcPr>
          <w:p>
            <w:r>
              <w:rPr>
                <w:b w:val="0"/>
                <w:bCs/>
                <w:sz w:val="17"/>
                <w:szCs w:val="20"/>
              </w:rPr>
              <w:t>Géométrique : (∏(1+r))^(252/n) − 1</w:t>
            </w:r>
          </w:p>
        </w:tc>
        <w:tc>
          <w:tcPr>
            <w:tcW w:type="dxa" w:w="4226"/>
            <w:tcMar>
              <w:top w:type="dxa" w:w="80"/>
              <w:left w:type="dxa" w:w="100"/>
              <w:bottom w:type="dxa" w:w="80"/>
              <w:right w:type="dxa" w:w="100"/>
            </w:tcMar>
            <w:vAlign w:val="center"/>
          </w:tcPr>
          <w:p>
            <w:r>
              <w:rPr>
                <w:b w:val="0"/>
                <w:bCs/>
                <w:sz w:val="17"/>
                <w:szCs w:val="20"/>
              </w:rPr>
              <w:t>Ce qu'un investisseur subit réellement ; la moyenne arithmétique surestime.</w:t>
            </w:r>
          </w:p>
        </w:tc>
      </w:tr>
      <w:tr>
        <w:trPr>
          <w:tblHeader/>
        </w:trPr>
        <w:tc>
          <w:tcPr>
            <w:tcW w:type="dxa" w:w="1700"/>
            <w:tcMar>
              <w:top w:type="dxa" w:w="80"/>
              <w:left w:type="dxa" w:w="100"/>
              <w:bottom w:type="dxa" w:w="80"/>
              <w:right w:type="dxa" w:w="100"/>
            </w:tcMar>
            <w:vAlign w:val="center"/>
          </w:tcPr>
          <w:p>
            <w:r>
              <w:rPr>
                <w:b w:val="0"/>
                <w:bCs/>
                <w:sz w:val="17"/>
                <w:szCs w:val="20"/>
              </w:rPr>
              <w:t>Ratio de Sharpe annualisé</w:t>
            </w:r>
          </w:p>
        </w:tc>
        <w:tc>
          <w:tcPr>
            <w:tcW w:type="dxa" w:w="3100"/>
            <w:tcMar>
              <w:top w:type="dxa" w:w="80"/>
              <w:left w:type="dxa" w:w="100"/>
              <w:bottom w:type="dxa" w:w="80"/>
              <w:right w:type="dxa" w:w="100"/>
            </w:tcMar>
            <w:vAlign w:val="center"/>
          </w:tcPr>
          <w:p>
            <w:r>
              <w:rPr>
                <w:b w:val="0"/>
                <w:bCs/>
                <w:sz w:val="17"/>
                <w:szCs w:val="20"/>
              </w:rPr>
              <w:t>moyenne/écart-type des rendements excédentaires × √252</w:t>
            </w:r>
          </w:p>
        </w:tc>
        <w:tc>
          <w:tcPr>
            <w:tcW w:type="dxa" w:w="4226"/>
            <w:tcMar>
              <w:top w:type="dxa" w:w="80"/>
              <w:left w:type="dxa" w:w="100"/>
              <w:bottom w:type="dxa" w:w="80"/>
              <w:right w:type="dxa" w:w="100"/>
            </w:tcMar>
            <w:vAlign w:val="center"/>
          </w:tcPr>
          <w:p>
            <w:r>
              <w:rPr>
                <w:b w:val="0"/>
                <w:bCs/>
                <w:sz w:val="17"/>
                <w:szCs w:val="20"/>
              </w:rPr>
              <w:t>La mesure de tête. Rapportée hors échantillon uniquement.</w:t>
            </w:r>
          </w:p>
        </w:tc>
      </w:tr>
      <w:tr>
        <w:trPr>
          <w:tblHeader/>
        </w:trPr>
        <w:tc>
          <w:tcPr>
            <w:tcW w:type="dxa" w:w="1700"/>
            <w:tcMar>
              <w:top w:type="dxa" w:w="80"/>
              <w:left w:type="dxa" w:w="100"/>
              <w:bottom w:type="dxa" w:w="80"/>
              <w:right w:type="dxa" w:w="100"/>
            </w:tcMar>
            <w:vAlign w:val="center"/>
          </w:tcPr>
          <w:p>
            <w:r>
              <w:rPr>
                <w:b w:val="0"/>
                <w:bCs/>
                <w:sz w:val="17"/>
                <w:szCs w:val="20"/>
              </w:rPr>
              <w:t>Drawdown maximal</w:t>
            </w:r>
          </w:p>
        </w:tc>
        <w:tc>
          <w:tcPr>
            <w:tcW w:type="dxa" w:w="3100"/>
            <w:tcMar>
              <w:top w:type="dxa" w:w="80"/>
              <w:left w:type="dxa" w:w="100"/>
              <w:bottom w:type="dxa" w:w="80"/>
              <w:right w:type="dxa" w:w="100"/>
            </w:tcMar>
            <w:vAlign w:val="center"/>
          </w:tcPr>
          <w:p>
            <w:r>
              <w:rPr>
                <w:b w:val="0"/>
                <w:bCs/>
                <w:sz w:val="17"/>
                <w:szCs w:val="20"/>
              </w:rPr>
              <w:t>Pire écart pic-creux de la richesse cumulée (≤ 0)</w:t>
            </w:r>
          </w:p>
        </w:tc>
        <w:tc>
          <w:tcPr>
            <w:tcW w:type="dxa" w:w="4226"/>
            <w:tcMar>
              <w:top w:type="dxa" w:w="80"/>
              <w:left w:type="dxa" w:w="100"/>
              <w:bottom w:type="dxa" w:w="80"/>
              <w:right w:type="dxa" w:w="100"/>
            </w:tcMar>
            <w:vAlign w:val="center"/>
          </w:tcPr>
          <w:p>
            <w:r>
              <w:rPr>
                <w:b w:val="0"/>
                <w:bCs/>
                <w:sz w:val="17"/>
                <w:szCs w:val="20"/>
              </w:rPr>
              <w:t>P3 — c'est là que la rupture de diversification se voit en argent. Compte davantage qu'une moyenne pour un gérant.</w:t>
            </w:r>
          </w:p>
        </w:tc>
      </w:tr>
      <w:tr>
        <w:trPr>
          <w:tblHeader/>
        </w:trPr>
        <w:tc>
          <w:tcPr>
            <w:tcW w:type="dxa" w:w="1700"/>
            <w:tcMar>
              <w:top w:type="dxa" w:w="80"/>
              <w:left w:type="dxa" w:w="100"/>
              <w:bottom w:type="dxa" w:w="80"/>
              <w:right w:type="dxa" w:w="100"/>
            </w:tcMar>
            <w:vAlign w:val="center"/>
          </w:tcPr>
          <w:p>
            <w:r>
              <w:rPr>
                <w:b w:val="0"/>
                <w:bCs/>
                <w:sz w:val="17"/>
                <w:szCs w:val="20"/>
              </w:rPr>
              <w:t>Ratio de Calmar</w:t>
            </w:r>
          </w:p>
        </w:tc>
        <w:tc>
          <w:tcPr>
            <w:tcW w:type="dxa" w:w="3100"/>
            <w:tcMar>
              <w:top w:type="dxa" w:w="80"/>
              <w:left w:type="dxa" w:w="100"/>
              <w:bottom w:type="dxa" w:w="80"/>
              <w:right w:type="dxa" w:w="100"/>
            </w:tcMar>
            <w:vAlign w:val="center"/>
          </w:tcPr>
          <w:p>
            <w:r>
              <w:rPr>
                <w:b w:val="0"/>
                <w:bCs/>
                <w:sz w:val="17"/>
                <w:szCs w:val="20"/>
              </w:rPr>
              <w:t>Rendement annualisé ÷ |drawdown maximal|</w:t>
            </w:r>
          </w:p>
        </w:tc>
        <w:tc>
          <w:tcPr>
            <w:tcW w:type="dxa" w:w="4226"/>
            <w:tcMar>
              <w:top w:type="dxa" w:w="80"/>
              <w:left w:type="dxa" w:w="100"/>
              <w:bottom w:type="dxa" w:w="80"/>
              <w:right w:type="dxa" w:w="100"/>
            </w:tcMar>
            <w:vAlign w:val="center"/>
          </w:tcPr>
          <w:p>
            <w:r>
              <w:rPr>
                <w:b w:val="0"/>
                <w:bCs/>
                <w:sz w:val="17"/>
                <w:szCs w:val="20"/>
              </w:rPr>
              <w:t>Rendement par unité de pire douleur ; alternative au Sharpe centrée robustesse.</w:t>
            </w:r>
          </w:p>
        </w:tc>
      </w:tr>
      <w:tr>
        <w:trPr>
          <w:tblHeader/>
        </w:trPr>
        <w:tc>
          <w:tcPr>
            <w:tcW w:type="dxa" w:w="1700"/>
            <w:tcMar>
              <w:top w:type="dxa" w:w="80"/>
              <w:left w:type="dxa" w:w="100"/>
              <w:bottom w:type="dxa" w:w="80"/>
              <w:right w:type="dxa" w:w="100"/>
            </w:tcMar>
            <w:vAlign w:val="center"/>
          </w:tcPr>
          <w:p>
            <w:r>
              <w:rPr>
                <w:b w:val="0"/>
                <w:bCs/>
                <w:sz w:val="17"/>
                <w:szCs w:val="20"/>
              </w:rPr>
              <w:t>Information ratio</w:t>
            </w:r>
          </w:p>
        </w:tc>
        <w:tc>
          <w:tcPr>
            <w:tcW w:type="dxa" w:w="3100"/>
            <w:tcMar>
              <w:top w:type="dxa" w:w="80"/>
              <w:left w:type="dxa" w:w="100"/>
              <w:bottom w:type="dxa" w:w="80"/>
              <w:right w:type="dxa" w:w="100"/>
            </w:tcMar>
            <w:vAlign w:val="center"/>
          </w:tcPr>
          <w:p>
            <w:r>
              <w:rPr>
                <w:b w:val="0"/>
                <w:bCs/>
                <w:sz w:val="17"/>
                <w:szCs w:val="20"/>
              </w:rPr>
              <w:t>Moyenne du rendement actif ÷ tracking error, face au 1/N</w:t>
            </w:r>
          </w:p>
        </w:tc>
        <w:tc>
          <w:tcPr>
            <w:tcW w:type="dxa" w:w="4226"/>
            <w:tcMar>
              <w:top w:type="dxa" w:w="80"/>
              <w:left w:type="dxa" w:w="100"/>
              <w:bottom w:type="dxa" w:w="80"/>
              <w:right w:type="dxa" w:w="100"/>
            </w:tcMar>
            <w:vAlign w:val="center"/>
          </w:tcPr>
          <w:p>
            <w:r>
              <w:rPr>
                <w:b w:val="0"/>
                <w:bCs/>
                <w:sz w:val="17"/>
                <w:szCs w:val="20"/>
              </w:rPr>
              <w:t>« La stratégie a-t-elle battu la haie honnête ? », quantifié.</w:t>
            </w:r>
          </w:p>
        </w:tc>
      </w:tr>
      <w:tr>
        <w:trPr>
          <w:tblHeader/>
        </w:trPr>
        <w:tc>
          <w:tcPr>
            <w:tcW w:type="dxa" w:w="1700"/>
            <w:tcMar>
              <w:top w:type="dxa" w:w="80"/>
              <w:left w:type="dxa" w:w="100"/>
              <w:bottom w:type="dxa" w:w="80"/>
              <w:right w:type="dxa" w:w="100"/>
            </w:tcMar>
            <w:vAlign w:val="center"/>
          </w:tcPr>
          <w:p>
            <w:r>
              <w:rPr>
                <w:b w:val="0"/>
                <w:bCs/>
                <w:sz w:val="17"/>
                <w:szCs w:val="20"/>
              </w:rPr>
              <w:t>Turnover</w:t>
            </w:r>
          </w:p>
        </w:tc>
        <w:tc>
          <w:tcPr>
            <w:tcW w:type="dxa" w:w="3100"/>
            <w:tcMar>
              <w:top w:type="dxa" w:w="80"/>
              <w:left w:type="dxa" w:w="100"/>
              <w:bottom w:type="dxa" w:w="80"/>
              <w:right w:type="dxa" w:w="100"/>
            </w:tcMar>
            <w:vAlign w:val="center"/>
          </w:tcPr>
          <w:p>
            <w:r>
              <w:rPr>
                <w:b w:val="0"/>
                <w:bCs/>
                <w:sz w:val="17"/>
                <w:szCs w:val="20"/>
              </w:rPr>
              <w:t>Σ|w_cible − w_dérivé| à chaque rééquilibrage (convention BILATÉRALE : remplacement complet = 2,0 ; entrée depuis le cash = 1,0)</w:t>
            </w:r>
          </w:p>
        </w:tc>
        <w:tc>
          <w:tcPr>
            <w:tcW w:type="dxa" w:w="4226"/>
            <w:tcMar>
              <w:top w:type="dxa" w:w="80"/>
              <w:left w:type="dxa" w:w="100"/>
              <w:bottom w:type="dxa" w:w="80"/>
              <w:right w:type="dxa" w:w="100"/>
            </w:tcMar>
            <w:vAlign w:val="center"/>
          </w:tcPr>
          <w:p>
            <w:r>
              <w:rPr>
                <w:b w:val="0"/>
                <w:bCs/>
                <w:sz w:val="17"/>
                <w:szCs w:val="20"/>
              </w:rPr>
              <w:t>Le moteur du coût. Mesuré contre le portefeuille RÉELLEMENT détenu après dérive des prix, non contre la cible précédente.</w:t>
            </w:r>
          </w:p>
        </w:tc>
      </w:tr>
      <w:tr>
        <w:trPr>
          <w:tblHeader/>
        </w:trPr>
        <w:tc>
          <w:tcPr>
            <w:tcW w:type="dxa" w:w="1700"/>
            <w:tcMar>
              <w:top w:type="dxa" w:w="80"/>
              <w:left w:type="dxa" w:w="100"/>
              <w:bottom w:type="dxa" w:w="80"/>
              <w:right w:type="dxa" w:w="100"/>
            </w:tcMar>
            <w:vAlign w:val="center"/>
          </w:tcPr>
          <w:p>
            <w:r>
              <w:rPr>
                <w:b w:val="0"/>
                <w:bCs/>
                <w:sz w:val="17"/>
                <w:szCs w:val="20"/>
              </w:rPr>
              <w:t>Coût total (drag)</w:t>
            </w:r>
          </w:p>
        </w:tc>
        <w:tc>
          <w:tcPr>
            <w:tcW w:type="dxa" w:w="3100"/>
            <w:tcMar>
              <w:top w:type="dxa" w:w="80"/>
              <w:left w:type="dxa" w:w="100"/>
              <w:bottom w:type="dxa" w:w="80"/>
              <w:right w:type="dxa" w:w="100"/>
            </w:tcMar>
            <w:vAlign w:val="center"/>
          </w:tcPr>
          <w:p>
            <w:r>
              <w:rPr>
                <w:b w:val="0"/>
                <w:bCs/>
                <w:sz w:val="17"/>
                <w:szCs w:val="20"/>
              </w:rPr>
              <w:t>Σ(brut − net) sur la période</w:t>
            </w:r>
          </w:p>
        </w:tc>
        <w:tc>
          <w:tcPr>
            <w:tcW w:type="dxa" w:w="4226"/>
            <w:tcMar>
              <w:top w:type="dxa" w:w="80"/>
              <w:left w:type="dxa" w:w="100"/>
              <w:bottom w:type="dxa" w:w="80"/>
              <w:right w:type="dxa" w:w="100"/>
            </w:tcMar>
            <w:vAlign w:val="center"/>
          </w:tcPr>
          <w:p>
            <w:r>
              <w:rPr>
                <w:b w:val="0"/>
                <w:bCs/>
                <w:sz w:val="17"/>
                <w:szCs w:val="20"/>
              </w:rPr>
              <w:t>Rend le coût visible au lieu de le noyer dans le net.</w:t>
            </w:r>
          </w:p>
        </w:tc>
      </w:tr>
    </w:tbl>
    <w:p>
      <w:pPr>
        <w:spacing w:after="160"/>
      </w:pPr>
      <w:r/>
    </w:p>
    <w:p>
      <w:pPr>
        <w:spacing w:after="160"/>
      </w:pPr>
      <w:r>
        <w:rPr>
          <w:color w:val="000000"/>
        </w:rPr>
        <w:t>Note sur le turnover, parce qu'il porte tout le raisonnement de la Phase 4C. Le coût appliqué est Σᵢ (cᵢ/10⁴)·|Δwᵢ| avec 10 pb sur les ETF et 30 pb sur les valeurs BVC (prime d'illiquidité). Exemple chiffré : un turnover moyen de 1,076 sur full_2021 — observé pour xgb_signal — signifie plus d'un remplacement complet du portefeuille par mois, soit plusieurs points de pourcentage de rendement annuel absorbés par les frais. C'est ainsi que rf_signal a pu afficher le MEILLEUR Sharpe brut de toute la comparaison (1,240) et perdre 0,178 en net : un échec de CONSTRUCTION de portefeuille, pas de prédiction.</w:t>
      </w:r>
    </w:p>
    <w:p>
      <w:pPr>
        <w:pStyle w:val="Heading1"/>
        <w:spacing w:after="120" w:before="240"/>
      </w:pPr>
      <w:r>
        <w:rPr>
          <w:b/>
        </w:rPr>
        <w:t>4. Contrôles du surapprentissage et de l'incertitude — la couche P4</w:t>
      </w:r>
    </w:p>
    <w:p>
      <w:pPr>
        <w:spacing w:after="160"/>
      </w:pPr>
      <w:r>
        <w:rPr>
          <w:color w:val="000000"/>
        </w:rPr>
        <w:t>C'est la partie qui distingue ce projet d'un backtest ordinaire. Ces cinq contrôles ne disent pas si la performance est bonne : ils disent si elle est CRÉDIBLE.</w:t>
      </w:r>
    </w:p>
    <w:p>
      <w:pPr>
        <w:pStyle w:val="Heading1"/>
        <w:spacing w:after="120" w:before="240"/>
      </w:pPr>
      <w:r>
        <w:rPr>
          <w:b/>
        </w:rPr>
        <w:t>4.1 Deflated Sharpe Ratio (DSR)</w:t>
      </w:r>
    </w:p>
    <w:p>
      <w:pPr>
        <w:spacing w:after="160"/>
      </w:pPr>
      <w:r>
        <w:rPr>
          <w:color w:val="000000"/>
        </w:rPr>
        <w:t>Probabilité que le Sharpe observé soit véritablement positif après correction (a) de la non-normalité des rendements — asymétrie et kurtosis — et (b) du NOMBRE de stratégies essayées. Essayer N configurations et publier la meilleure gonfle mécaniquement le Sharpe retenu, même si toutes sont sans valeur (Bailey &amp; López de Prado, 2014). C'est la défense principale du projet contre « nous avons beaucoup essayé et rapporté le meilleur ».</w:t>
      </w:r>
    </w:p>
    <w:p>
      <w:pPr>
        <w:spacing w:after="160"/>
      </w:pPr>
      <w:r>
        <w:rPr>
          <w:color w:val="000000"/>
        </w:rPr>
        <w:t>Détail d'implémentation à défendre : les Sharpe fournis au DSR sont PAR PÉRIODE (quotidiens, NON annualisés). La correction d'asymétrie/kurtosis est définie sur la série brute ; annualiser (×√252) ne serait pas seulement incohérent, ce serait faux.</w:t>
      </w:r>
    </w:p>
    <w:p>
      <w:pPr>
        <w:pStyle w:val="Heading1"/>
        <w:spacing w:after="120" w:before="240"/>
      </w:pPr>
      <w:r>
        <w:rPr>
          <w:b/>
        </w:rPr>
        <w:t>4.2 Intervalle de confiance par bootstrap par blocs</w:t>
      </w:r>
    </w:p>
    <w:p>
      <w:pPr>
        <w:spacing w:after="160"/>
      </w:pPr>
      <w:r>
        <w:rPr>
          <w:color w:val="000000"/>
        </w:rPr>
        <w:t>Intervalle à 90 % du Sharpe annualisé, obtenu par bootstrap par BLOCS CIRCULAIRES de 21 jours (~un mois de bourse). Des blocs et non un ré-échantillonnage i.i.d. parce que les rendements quotidiens sont autocorrélés (la volatilité se regroupe) : l'i.i.d. détruirait cette dépendance et SOUS-ESTIMERAIT l'intervalle. La série est traitée comme un cercle pour éviter les effets de bord, et le tirage est initialisé par une graine fixe — l'intervalle publié est reproductible.</w:t>
      </w:r>
    </w:p>
    <w:p>
      <w:pPr>
        <w:spacing w:after="160"/>
      </w:pPr>
      <w:r>
        <w:rPr>
          <w:color w:val="000000"/>
        </w:rPr>
        <w:t>C'est l'outil d'honnêteté le plus important du projet : il transforme « 1,12 contre 0,97 » en deux intervalles marginaux et empêche de présenter un classement ponctuel comme un fait. Il n'autorise pas pour autant la conclusion inverse : des intervalles MARGINAUX qui se chevauchent ne testent pas la différence entre deux stratégies. Cette différence est traitée par le bootstrap PAIRÉ de la section 4.3.</w:t>
      </w:r>
    </w:p>
    <w:p>
      <w:pPr>
        <w:pStyle w:val="Heading1"/>
        <w:spacing w:after="120" w:before="240"/>
      </w:pPr>
      <w:r>
        <w:t>4.3 Bootstrap pairé sur les différences</w:t>
      </w:r>
    </w:p>
    <w:p>
      <w:pPr>
        <w:spacing w:after="160"/>
      </w:pPr>
      <w:r>
        <w:rPr>
          <w:color w:val="000000"/>
        </w:rPr>
        <w:t>Lorsqu'il faut comparer deux stratégies, les deux séries de rendements nets sont ré-échantillonnées avec les MÊMES blocs circulaires de 21 jours. Chaque tirage conserve donc la dépendance temporelle de chaque stratégie et leur corrélation le même jour. L'objet testé est directement l'écart de rendement et l'écart de Sharpe, pas le chevauchement de deux intervalles marginaux séparés.</w:t>
      </w:r>
    </w:p>
    <w:p>
      <w:pPr>
        <w:spacing w:after="160"/>
      </w:pPr>
      <w:r>
        <w:rPr>
          <w:color w:val="000000"/>
        </w:rPr>
        <w:t>Le résultat publié comprend l'intervalle pairé, une p-value unilatérale centrée sous l'hypothèse nulle d'absence de surperformance et la probabilité descriptive que l'écart de Sharpe soit positif. Une surperformance n'est établie que si l'intervalle exclut zéro et si la p-value respecte le seuil déclaré. Ne pas rejeter l'hypothèse nulle ne démontre jamais l'équivalence : cela exigerait un test dédié contre une marge définie à l'avance.</w:t>
      </w:r>
    </w:p>
    <w:p>
      <w:pPr>
        <w:pStyle w:val="Heading1"/>
        <w:spacing w:after="120" w:before="240"/>
      </w:pPr>
      <w:r>
        <w:t>4.4 Correction du choix parmi de nombreuses variantes</w:t>
      </w:r>
    </w:p>
    <w:p>
      <w:pPr>
        <w:spacing w:after="160"/>
      </w:pPr>
      <w:r>
        <w:rPr>
          <w:color w:val="000000"/>
        </w:rPr>
        <w:t>White Reality Check et Hansen SPA testent l'hypothèse composite qu'aucun des 240 candidats atteignables ne surperforme un benchmark sur la fenêtre de test gelée. Toutes les variantes sont évaluées sur les mêmes dates et partagent les mêmes tirages bootstrap : les variantes proches ne sont pas artificiellement traitées comme des paris indépendants.</w:t>
      </w:r>
    </w:p>
    <w:p>
      <w:pPr>
        <w:spacing w:after="160"/>
      </w:pPr>
      <w:r>
        <w:rPr>
          <w:color w:val="000000"/>
        </w:rPr>
        <w:t>Le benchmark primaire est fixé avant lecture des p-values : regime_conditional, le système que la couche ML devait améliorer. equal_weight est exploratoire : le battre n'établit pas une valeur ajoutée ML, car le système de régimes et le max_sharpe classique le dépassent déjà. White RC et Hansen SPA sont toujours rapportés ensemble. SPA a retenu 227 à 240 candidats sur 240 ; l'écart avec White vient donc principalement de la studentisation, non d'un élagage massif. Huit comparaisons externes sont rapportées (2 univers, 2 benchmarks, 2 statistiques) sans correction supplémentaire : leurs résultats exploratoires ne doivent pas être sélectionnés a posteriori.</w:t>
      </w:r>
    </w:p>
    <w:p>
      <w:pPr>
        <w:pStyle w:val="Heading1"/>
        <w:spacing w:after="120" w:before="240"/>
      </w:pPr>
      <w:r>
        <w:t>4.5 Registre des essais (DSRTrialLedger)</w:t>
      </w:r>
    </w:p>
    <w:p>
      <w:pPr>
        <w:spacing w:after="160"/>
      </w:pPr>
      <w:r>
        <w:rPr>
          <w:color w:val="000000"/>
        </w:rPr>
        <w:t>Le registre rend la recherche inspectable : pour la Phase 5, il consigne 51 essais hiérarchiques (15 configurations de signal évaluées par IC et 36 essais de leviers avec séries de rendements). Ce registre rend visible la sélection, mais il ne remplace pas la correction de recherche de la section 4.4 : celle-ci évalue les 240 chemins de portefeuille atteignables sur la même fenêtre de test gelée.</w:t>
      </w:r>
    </w:p>
    <w:p>
      <w:pPr>
        <w:pStyle w:val="Heading1"/>
        <w:spacing w:after="120" w:before="240"/>
      </w:pPr>
      <w:r>
        <w:rPr>
          <w:b/>
        </w:rPr>
        <w:t>5. Mesure de sélection de modèle — un objectif différent</w:t>
      </w:r>
    </w:p>
    <w:p>
      <w:pPr>
        <w:spacing w:after="160"/>
      </w:pPr>
      <w:r>
        <w:rPr>
          <w:color w:val="000000"/>
        </w:rPr>
        <w:t>Coefficient d'information (IC) : corrélation de rang de Spearman entre rendements prédits et rendements réalisés. Le choix du RANG plutôt que de Pearson est délibéré — pour un signal de trading, ce qui doit généraliser est l'ORDRE des actifs, pas l'amplitude des prédictions.</w:t>
      </w:r>
    </w:p>
    <w:p>
      <w:pPr>
        <w:spacing w:after="160"/>
      </w:pPr>
      <w:r>
        <w:rPr>
          <w:color w:val="000000"/>
        </w:rPr>
        <w:t>Point de méthode à défendre : les hyperparamètres ML sont choisis par IC via K-Fold purgé, les leviers de portefeuille (shrinkage, pénalité de turnover) par Sharpe NET sur un vrai walk-forward. Deux objectifs, deux outils : utiliser le K-Fold pour des leviers dont l'objectif est un Sharpe net serait une erreur de catégorie, les rendements de portefeuille étant dépendants et non échangeables.</w:t>
      </w:r>
    </w:p>
    <w:p>
      <w:pPr>
        <w:spacing w:after="160"/>
      </w:pPr>
      <w:r>
        <w:rPr>
          <w:color w:val="000000"/>
        </w:rPr>
        <w:t>Les IC mesurés ici valent 0,015 à 0,038 — honnêtement faibles, comme l'est habituellement la prédiction de rendements financiers. Le projet a par ailleurs établi à quatre reprises qu'un IC en hausse n'entraîne pas une performance de portefeuille en hausse.</w:t>
      </w:r>
    </w:p>
    <w:p>
      <w:pPr>
        <w:pStyle w:val="Heading1"/>
        <w:spacing w:after="120" w:before="240"/>
      </w:pPr>
      <w:r>
        <w:rPr>
          <w:b/>
        </w:rPr>
        <w:t>6. Diagnostics de la couche données</w:t>
      </w:r>
    </w:p>
    <w:p>
      <w:pPr>
        <w:spacing w:after="160"/>
      </w:pPr>
      <w:r>
        <w:rPr>
          <w:color w:val="000000"/>
        </w:rPr>
        <w:t>ADF et KPSS, toujours ensemble, jamais séparément. Les deux tests ont des hypothèses nulles OPPOSÉES : ADF teste la présence d'une racine unitaire, KPSS teste la stationnarité. Leur accord est informatif ; leur désaccord signifie AMBIGU et impose une investigation manuelle — jamais une supposition. C'est ce protocole qui a signalé EEM (ADF rejette la racine unitaire, KPSS rejette aussi la stationnarité, p ≈ 0,033) et l'a maintenu signalé jusqu'aux phases ML.</w:t>
      </w:r>
    </w:p>
    <w:p>
      <w:pPr>
        <w:pStyle w:val="Heading1"/>
        <w:spacing w:after="120" w:before="240"/>
      </w:pPr>
      <w:r>
        <w:rPr>
          <w:b/>
        </w:rPr>
        <w:t>7. Diagnostics propres aux expériences</w:t>
      </w:r>
    </w:p>
    <w:p>
      <w:pPr>
        <w:spacing w:after="160"/>
      </w:pPr>
      <w:r>
        <w:rPr>
          <w:color w:val="000000"/>
        </w:rPr>
        <w:t>Mesures ajoutées lorsqu'un Sharpe ne pouvait pas répondre à la question posée. Elles ne figurent pas dans summarize() mais dans les artefacts d'expérience.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rPr>
          <w:tblHeader/>
        </w:trPr>
        <w:tc>
          <w:tcPr>
            <w:tcW w:type="dxa" w:w="2600"/>
            <w:shd w:val="clear" w:fill="DCE6F1"/>
            <w:tcMar>
              <w:top w:type="dxa" w:w="80"/>
              <w:left w:type="dxa" w:w="100"/>
              <w:bottom w:type="dxa" w:w="80"/>
              <w:right w:type="dxa" w:w="100"/>
            </w:tcMar>
            <w:vAlign w:val="center"/>
          </w:tcPr>
          <w:p>
            <w:r>
              <w:rPr>
                <w:b/>
                <w:bCs/>
                <w:sz w:val="17"/>
                <w:szCs w:val="20"/>
              </w:rPr>
              <w:t>Diagnostic</w:t>
            </w:r>
          </w:p>
        </w:tc>
        <w:tc>
          <w:tcPr>
            <w:tcW w:type="dxa" w:w="6426"/>
            <w:shd w:val="clear" w:fill="DCE6F1"/>
            <w:tcMar>
              <w:top w:type="dxa" w:w="80"/>
              <w:left w:type="dxa" w:w="100"/>
              <w:bottom w:type="dxa" w:w="80"/>
              <w:right w:type="dxa" w:w="100"/>
            </w:tcMar>
            <w:vAlign w:val="center"/>
          </w:tcPr>
          <w:p>
            <w:r>
              <w:rPr>
                <w:b/>
                <w:bCs/>
                <w:sz w:val="17"/>
                <w:szCs w:val="20"/>
              </w:rPr>
              <w:t>Ce qu'il a révélé</w:t>
            </w:r>
          </w:p>
        </w:tc>
      </w:tr>
      <w:tr>
        <w:trPr>
          <w:tblHeader/>
        </w:trPr>
        <w:tc>
          <w:tcPr>
            <w:tcW w:type="dxa" w:w="2600"/>
            <w:tcMar>
              <w:top w:type="dxa" w:w="80"/>
              <w:left w:type="dxa" w:w="100"/>
              <w:bottom w:type="dxa" w:w="80"/>
              <w:right w:type="dxa" w:w="100"/>
            </w:tcMar>
            <w:vAlign w:val="center"/>
          </w:tcPr>
          <w:p>
            <w:r>
              <w:rPr>
                <w:b w:val="0"/>
                <w:bCs/>
                <w:sz w:val="17"/>
                <w:szCs w:val="20"/>
              </w:rPr>
              <w:t>Allocations distinctes</w:t>
            </w:r>
          </w:p>
        </w:tc>
        <w:tc>
          <w:tcPr>
            <w:tcW w:type="dxa" w:w="6426"/>
            <w:tcMar>
              <w:top w:type="dxa" w:w="80"/>
              <w:left w:type="dxa" w:w="100"/>
              <w:bottom w:type="dxa" w:w="80"/>
              <w:right w:type="dxa" w:w="100"/>
            </w:tcMar>
            <w:vAlign w:val="center"/>
          </w:tcPr>
          <w:p>
            <w:r>
              <w:rPr>
                <w:b w:val="0"/>
                <w:bCs/>
                <w:sz w:val="17"/>
                <w:szCs w:val="20"/>
              </w:rPr>
              <w:t>Nombre de portefeuilles réellement différents émis sur 248 rééquilibrages. A mis au jour la dégénérescence du plafond : min_variance_lw n'en produit qu'UNE SEULE à 0,25.</w:t>
            </w:r>
          </w:p>
        </w:tc>
      </w:tr>
      <w:tr>
        <w:trPr>
          <w:tblHeader/>
        </w:trPr>
        <w:tc>
          <w:tcPr>
            <w:tcW w:type="dxa" w:w="2600"/>
            <w:tcMar>
              <w:top w:type="dxa" w:w="80"/>
              <w:left w:type="dxa" w:w="100"/>
              <w:bottom w:type="dxa" w:w="80"/>
              <w:right w:type="dxa" w:w="100"/>
            </w:tcMar>
            <w:vAlign w:val="center"/>
          </w:tcPr>
          <w:p>
            <w:r>
              <w:rPr>
                <w:b w:val="0"/>
                <w:bCs/>
                <w:sz w:val="17"/>
                <w:szCs w:val="20"/>
              </w:rPr>
              <w:t>Largeur et chevauchement des IC</w:t>
            </w:r>
          </w:p>
        </w:tc>
        <w:tc>
          <w:tcPr>
            <w:tcW w:type="dxa" w:w="6426"/>
            <w:tcMar>
              <w:top w:type="dxa" w:w="80"/>
              <w:left w:type="dxa" w:w="100"/>
              <w:bottom w:type="dxa" w:w="80"/>
              <w:right w:type="dxa" w:w="100"/>
            </w:tcMar>
            <w:vAlign w:val="center"/>
          </w:tcPr>
          <w:p>
            <w:r>
              <w:rPr>
                <w:b w:val="0"/>
                <w:bCs/>
                <w:sz w:val="17"/>
                <w:szCs w:val="20"/>
              </w:rPr>
              <w:t>Le vrai livrable du walk-forward imbriqué était −28,6 % de largeur, pas un meilleur Sharpe. Le chevauchement est rapporté à côté de chaque verdict.</w:t>
            </w:r>
          </w:p>
        </w:tc>
      </w:tr>
      <w:tr>
        <w:trPr>
          <w:tblHeader/>
        </w:trPr>
        <w:tc>
          <w:tcPr>
            <w:tcW w:type="dxa" w:w="2600"/>
            <w:tcMar>
              <w:top w:type="dxa" w:w="80"/>
              <w:left w:type="dxa" w:w="100"/>
              <w:bottom w:type="dxa" w:w="80"/>
              <w:right w:type="dxa" w:w="100"/>
            </w:tcMar>
            <w:vAlign w:val="center"/>
          </w:tcPr>
          <w:p>
            <w:r>
              <w:rPr>
                <w:b w:val="0"/>
                <w:bCs/>
                <w:sz w:val="17"/>
                <w:szCs w:val="20"/>
              </w:rPr>
              <w:t>Rééquilibrages en régime baissier</w:t>
            </w:r>
          </w:p>
        </w:tc>
        <w:tc>
          <w:tcPr>
            <w:tcW w:type="dxa" w:w="6426"/>
            <w:tcMar>
              <w:top w:type="dxa" w:w="80"/>
              <w:left w:type="dxa" w:w="100"/>
              <w:bottom w:type="dxa" w:w="80"/>
              <w:right w:type="dxa" w:w="100"/>
            </w:tcMar>
            <w:vAlign w:val="center"/>
          </w:tcPr>
          <w:p>
            <w:r>
              <w:rPr>
                <w:b w:val="0"/>
                <w:bCs/>
                <w:sz w:val="17"/>
                <w:szCs w:val="20"/>
              </w:rPr>
              <w:t>Confirme que la commutation de régime s'est effectivement déclenchée avant d'interpréter son effet.</w:t>
            </w:r>
          </w:p>
        </w:tc>
      </w:tr>
      <w:tr>
        <w:trPr>
          <w:tblHeader/>
        </w:trPr>
        <w:tc>
          <w:tcPr>
            <w:tcW w:type="dxa" w:w="2600"/>
            <w:tcMar>
              <w:top w:type="dxa" w:w="80"/>
              <w:left w:type="dxa" w:w="100"/>
              <w:bottom w:type="dxa" w:w="80"/>
              <w:right w:type="dxa" w:w="100"/>
            </w:tcMar>
            <w:vAlign w:val="center"/>
          </w:tcPr>
          <w:p>
            <w:r>
              <w:rPr>
                <w:b w:val="0"/>
                <w:bCs/>
                <w:sz w:val="17"/>
                <w:szCs w:val="20"/>
              </w:rPr>
              <w:t>NaN de tête / lignes complètes</w:t>
            </w:r>
          </w:p>
        </w:tc>
        <w:tc>
          <w:tcPr>
            <w:tcW w:type="dxa" w:w="6426"/>
            <w:tcMar>
              <w:top w:type="dxa" w:w="80"/>
              <w:left w:type="dxa" w:w="100"/>
              <w:bottom w:type="dxa" w:w="80"/>
              <w:right w:type="dxa" w:w="100"/>
            </w:tcMar>
            <w:vAlign w:val="center"/>
          </w:tcPr>
          <w:p>
            <w:r>
              <w:rPr>
                <w:b w:val="0"/>
                <w:bCs/>
                <w:sz w:val="17"/>
                <w:szCs w:val="20"/>
              </w:rPr>
              <w:t>Dans le manifeste des features : les fenêtres de chauffe sont RAPPORTÉES, jamais absorbées silencieusement (règle « toute perte de données silencieuse est un bug »).</w:t>
            </w:r>
          </w:p>
        </w:tc>
      </w:tr>
    </w:tbl>
    <w:p>
      <w:pPr>
        <w:spacing w:after="160"/>
      </w:pPr>
      <w:r>
        <w:rPr>
          <w:color w:val="000000"/>
        </w:rPr>
        <w:t>Lecture d'ensemble. Les sections 4 et 7 séparent une observation historique d'une conclusion établie : ni des intervalles marginaux ni l'absence de rejet ne prouvent l'équivalence.</w:t>
      </w:r>
    </w:p>
    <w:p>
      <w:pPr>
        <w:pStyle w:val="Heading1"/>
        <w:spacing w:after="120" w:before="240"/>
      </w:pPr>
      <w:r>
        <w:rPr>
          <w:b/>
        </w:rPr>
        <w:t>8. Traçabilité P1–P4 et localisation dans le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1900"/>
        <w:gridCol w:w="4626"/>
      </w:tblGrid>
      <w:tr>
        <w:trPr>
          <w:tblHeader/>
        </w:trPr>
        <w:tc>
          <w:tcPr>
            <w:tcW w:type="dxa" w:w="2500"/>
            <w:shd w:val="clear" w:fill="DCE6F1"/>
            <w:tcMar>
              <w:top w:type="dxa" w:w="30"/>
              <w:left w:type="dxa" w:w="100"/>
              <w:bottom w:type="dxa" w:w="30"/>
              <w:right w:type="dxa" w:w="100"/>
              <w:start w:w="80" w:type="dxa"/>
              <w:end w:w="80" w:type="dxa"/>
            </w:tcMar>
            <w:vAlign w:val="center"/>
          </w:tcPr>
          <w:p>
            <w:pPr>
              <w:spacing w:after="0"/>
            </w:pPr>
            <w:r>
              <w:rPr>
                <w:b/>
                <w:bCs/>
                <w:sz w:val="20"/>
                <w:szCs w:val="20"/>
              </w:rPr>
              <w:t>Mesure</w:t>
            </w:r>
          </w:p>
        </w:tc>
        <w:tc>
          <w:tcPr>
            <w:tcW w:type="dxa" w:w="1900"/>
            <w:shd w:val="clear" w:fill="DCE6F1"/>
            <w:tcMar>
              <w:top w:type="dxa" w:w="30"/>
              <w:left w:type="dxa" w:w="100"/>
              <w:bottom w:type="dxa" w:w="30"/>
              <w:right w:type="dxa" w:w="100"/>
              <w:start w:w="80" w:type="dxa"/>
              <w:end w:w="80" w:type="dxa"/>
            </w:tcMar>
            <w:vAlign w:val="center"/>
          </w:tcPr>
          <w:p>
            <w:pPr>
              <w:spacing w:after="0"/>
            </w:pPr>
            <w:r>
              <w:rPr>
                <w:b/>
                <w:bCs/>
                <w:sz w:val="20"/>
                <w:szCs w:val="20"/>
              </w:rPr>
              <w:t>Problème(s)</w:t>
            </w:r>
          </w:p>
        </w:tc>
        <w:tc>
          <w:tcPr>
            <w:tcW w:type="dxa" w:w="4626"/>
            <w:shd w:val="clear" w:fill="DCE6F1"/>
            <w:tcMar>
              <w:top w:type="dxa" w:w="30"/>
              <w:left w:type="dxa" w:w="100"/>
              <w:bottom w:type="dxa" w:w="30"/>
              <w:right w:type="dxa" w:w="100"/>
              <w:start w:w="80" w:type="dxa"/>
              <w:end w:w="80" w:type="dxa"/>
            </w:tcMar>
            <w:vAlign w:val="center"/>
          </w:tcPr>
          <w:p>
            <w:pPr>
              <w:spacing w:after="0"/>
            </w:pPr>
            <w:r>
              <w:rPr>
                <w:b/>
                <w:bCs/>
                <w:sz w:val="20"/>
                <w:szCs w:val="20"/>
              </w:rPr>
              <w:t>Implémentation</w:t>
            </w:r>
          </w:p>
        </w:tc>
      </w:tr>
      <w:tr>
        <w:trPr>
          <w:tblHeader/>
        </w:trPr>
        <w:tc>
          <w:tcPr>
            <w:tcW w:type="dxa" w:w="2500"/>
            <w:tcMar>
              <w:top w:type="dxa" w:w="30"/>
              <w:left w:type="dxa" w:w="100"/>
              <w:bottom w:type="dxa" w:w="30"/>
              <w:right w:type="dxa" w:w="100"/>
              <w:start w:w="80" w:type="dxa"/>
              <w:end w:w="80" w:type="dxa"/>
            </w:tcMar>
            <w:vAlign w:val="center"/>
          </w:tcPr>
          <w:p>
            <w:pPr>
              <w:spacing w:after="0"/>
            </w:pPr>
            <w:r>
              <w:rPr>
                <w:b w:val="0"/>
                <w:bCs/>
                <w:sz w:val="20"/>
                <w:szCs w:val="20"/>
              </w:rPr>
              <w:t>Rendement annualisé</w:t>
            </w:r>
          </w:p>
        </w:tc>
        <w:tc>
          <w:tcPr>
            <w:tcW w:type="dxa" w:w="1900"/>
            <w:tcMar>
              <w:top w:type="dxa" w:w="30"/>
              <w:left w:type="dxa" w:w="100"/>
              <w:bottom w:type="dxa" w:w="30"/>
              <w:right w:type="dxa" w:w="100"/>
              <w:start w:w="80" w:type="dxa"/>
              <w:end w:w="80" w:type="dxa"/>
            </w:tcMar>
            <w:vAlign w:val="center"/>
          </w:tcPr>
          <w:p>
            <w:pPr>
              <w:spacing w:after="0"/>
            </w:pPr>
            <w:r>
              <w:rPr>
                <w:b w:val="0"/>
                <w:bCs/>
                <w:sz w:val="20"/>
                <w:szCs w:val="20"/>
              </w:rPr>
              <w:t>P4</w:t>
            </w:r>
          </w:p>
        </w:tc>
        <w:tc>
          <w:tcPr>
            <w:tcW w:type="dxa" w:w="4626"/>
            <w:tcMar>
              <w:top w:type="dxa" w:w="30"/>
              <w:left w:type="dxa" w:w="100"/>
              <w:bottom w:type="dxa" w:w="30"/>
              <w:right w:type="dxa" w:w="100"/>
              <w:start w:w="80" w:type="dxa"/>
              <w:end w:w="80" w:type="dxa"/>
            </w:tcMar>
            <w:vAlign w:val="center"/>
          </w:tcPr>
          <w:p>
            <w:pPr>
              <w:spacing w:after="0"/>
            </w:pPr>
            <w:r>
              <w:rPr>
                <w:b w:val="0"/>
                <w:bCs/>
                <w:sz w:val="20"/>
                <w:szCs w:val="20"/>
              </w:rPr>
              <w:t>metrics.py : annualized_return</w:t>
            </w:r>
          </w:p>
        </w:tc>
      </w:tr>
      <w:tr>
        <w:trPr>
          <w:tblHeader/>
        </w:trPr>
        <w:tc>
          <w:tcPr>
            <w:tcW w:type="dxa" w:w="2500"/>
            <w:tcMar>
              <w:top w:type="dxa" w:w="30"/>
              <w:left w:type="dxa" w:w="100"/>
              <w:bottom w:type="dxa" w:w="30"/>
              <w:right w:type="dxa" w:w="100"/>
              <w:start w:w="80" w:type="dxa"/>
              <w:end w:w="80" w:type="dxa"/>
            </w:tcMar>
            <w:vAlign w:val="center"/>
          </w:tcPr>
          <w:p>
            <w:pPr>
              <w:spacing w:after="0"/>
            </w:pPr>
            <w:r>
              <w:rPr>
                <w:b w:val="0"/>
                <w:bCs/>
                <w:sz w:val="20"/>
                <w:szCs w:val="20"/>
              </w:rPr>
              <w:t>Sharpe annualisé</w:t>
            </w:r>
          </w:p>
        </w:tc>
        <w:tc>
          <w:tcPr>
            <w:tcW w:type="dxa" w:w="1900"/>
            <w:tcMar>
              <w:top w:type="dxa" w:w="30"/>
              <w:left w:type="dxa" w:w="100"/>
              <w:bottom w:type="dxa" w:w="30"/>
              <w:right w:type="dxa" w:w="100"/>
              <w:start w:w="80" w:type="dxa"/>
              <w:end w:w="80" w:type="dxa"/>
            </w:tcMar>
            <w:vAlign w:val="center"/>
          </w:tcPr>
          <w:p>
            <w:pPr>
              <w:spacing w:after="0"/>
            </w:pPr>
            <w:r>
              <w:rPr>
                <w:b w:val="0"/>
                <w:bCs/>
                <w:sz w:val="20"/>
                <w:szCs w:val="20"/>
              </w:rPr>
              <w:t>P4</w:t>
            </w:r>
          </w:p>
        </w:tc>
        <w:tc>
          <w:tcPr>
            <w:tcW w:type="dxa" w:w="4626"/>
            <w:tcMar>
              <w:top w:type="dxa" w:w="30"/>
              <w:left w:type="dxa" w:w="100"/>
              <w:bottom w:type="dxa" w:w="30"/>
              <w:right w:type="dxa" w:w="100"/>
              <w:start w:w="80" w:type="dxa"/>
              <w:end w:w="80" w:type="dxa"/>
            </w:tcMar>
            <w:vAlign w:val="center"/>
          </w:tcPr>
          <w:p>
            <w:pPr>
              <w:spacing w:after="0"/>
            </w:pPr>
            <w:r>
              <w:rPr>
                <w:b w:val="0"/>
                <w:bCs/>
                <w:sz w:val="20"/>
                <w:szCs w:val="20"/>
              </w:rPr>
              <w:t>metrics.py : annualized_sharpe</w:t>
            </w:r>
          </w:p>
        </w:tc>
      </w:tr>
      <w:tr>
        <w:trPr>
          <w:tblHeader/>
        </w:trPr>
        <w:tc>
          <w:tcPr>
            <w:tcW w:type="dxa" w:w="2500"/>
            <w:tcMar>
              <w:top w:type="dxa" w:w="30"/>
              <w:left w:type="dxa" w:w="100"/>
              <w:bottom w:type="dxa" w:w="30"/>
              <w:right w:type="dxa" w:w="100"/>
              <w:start w:w="80" w:type="dxa"/>
              <w:end w:w="80" w:type="dxa"/>
            </w:tcMar>
            <w:vAlign w:val="center"/>
          </w:tcPr>
          <w:p>
            <w:pPr>
              <w:spacing w:after="0"/>
            </w:pPr>
            <w:r>
              <w:rPr>
                <w:b w:val="0"/>
                <w:bCs/>
                <w:sz w:val="20"/>
                <w:szCs w:val="20"/>
              </w:rPr>
              <w:t>Drawdown maximal</w:t>
            </w:r>
          </w:p>
        </w:tc>
        <w:tc>
          <w:tcPr>
            <w:tcW w:type="dxa" w:w="1900"/>
            <w:tcMar>
              <w:top w:type="dxa" w:w="30"/>
              <w:left w:type="dxa" w:w="100"/>
              <w:bottom w:type="dxa" w:w="30"/>
              <w:right w:type="dxa" w:w="100"/>
              <w:start w:w="80" w:type="dxa"/>
              <w:end w:w="80" w:type="dxa"/>
            </w:tcMar>
            <w:vAlign w:val="center"/>
          </w:tcPr>
          <w:p>
            <w:pPr>
              <w:spacing w:after="0"/>
            </w:pPr>
            <w:r>
              <w:rPr>
                <w:b w:val="0"/>
                <w:bCs/>
                <w:sz w:val="20"/>
                <w:szCs w:val="20"/>
              </w:rPr>
              <w:t>P3, P4</w:t>
            </w:r>
          </w:p>
        </w:tc>
        <w:tc>
          <w:tcPr>
            <w:tcW w:type="dxa" w:w="4626"/>
            <w:tcMar>
              <w:top w:type="dxa" w:w="30"/>
              <w:left w:type="dxa" w:w="100"/>
              <w:bottom w:type="dxa" w:w="30"/>
              <w:right w:type="dxa" w:w="100"/>
              <w:start w:w="80" w:type="dxa"/>
              <w:end w:w="80" w:type="dxa"/>
            </w:tcMar>
            <w:vAlign w:val="center"/>
          </w:tcPr>
          <w:p>
            <w:pPr>
              <w:spacing w:after="0"/>
            </w:pPr>
            <w:r>
              <w:rPr>
                <w:b w:val="0"/>
                <w:bCs/>
                <w:sz w:val="20"/>
                <w:szCs w:val="20"/>
              </w:rPr>
              <w:t>metrics.py : max_drawdown</w:t>
            </w:r>
          </w:p>
        </w:tc>
      </w:tr>
      <w:tr>
        <w:trPr>
          <w:tblHeader/>
        </w:trPr>
        <w:tc>
          <w:tcPr>
            <w:tcW w:type="dxa" w:w="2500"/>
            <w:tcMar>
              <w:top w:type="dxa" w:w="30"/>
              <w:left w:type="dxa" w:w="100"/>
              <w:bottom w:type="dxa" w:w="30"/>
              <w:right w:type="dxa" w:w="100"/>
              <w:start w:w="80" w:type="dxa"/>
              <w:end w:w="80" w:type="dxa"/>
            </w:tcMar>
            <w:vAlign w:val="center"/>
          </w:tcPr>
          <w:p>
            <w:pPr>
              <w:spacing w:after="0"/>
            </w:pPr>
            <w:r>
              <w:rPr>
                <w:b w:val="0"/>
                <w:bCs/>
                <w:sz w:val="20"/>
                <w:szCs w:val="20"/>
              </w:rPr>
              <w:t>Ratio de Calmar</w:t>
            </w:r>
          </w:p>
        </w:tc>
        <w:tc>
          <w:tcPr>
            <w:tcW w:type="dxa" w:w="1900"/>
            <w:tcMar>
              <w:top w:type="dxa" w:w="30"/>
              <w:left w:type="dxa" w:w="100"/>
              <w:bottom w:type="dxa" w:w="30"/>
              <w:right w:type="dxa" w:w="100"/>
              <w:start w:w="80" w:type="dxa"/>
              <w:end w:w="80" w:type="dxa"/>
            </w:tcMar>
            <w:vAlign w:val="center"/>
          </w:tcPr>
          <w:p>
            <w:pPr>
              <w:spacing w:after="0"/>
            </w:pPr>
            <w:r>
              <w:rPr>
                <w:b w:val="0"/>
                <w:bCs/>
                <w:sz w:val="20"/>
                <w:szCs w:val="20"/>
              </w:rPr>
              <w:t>P4</w:t>
            </w:r>
          </w:p>
        </w:tc>
        <w:tc>
          <w:tcPr>
            <w:tcW w:type="dxa" w:w="4626"/>
            <w:tcMar>
              <w:top w:type="dxa" w:w="30"/>
              <w:left w:type="dxa" w:w="100"/>
              <w:bottom w:type="dxa" w:w="30"/>
              <w:right w:type="dxa" w:w="100"/>
              <w:start w:w="80" w:type="dxa"/>
              <w:end w:w="80" w:type="dxa"/>
            </w:tcMar>
            <w:vAlign w:val="center"/>
          </w:tcPr>
          <w:p>
            <w:pPr>
              <w:spacing w:after="0"/>
            </w:pPr>
            <w:r>
              <w:rPr>
                <w:b w:val="0"/>
                <w:bCs/>
                <w:sz w:val="20"/>
                <w:szCs w:val="20"/>
              </w:rPr>
              <w:t>metrics.py : calmar_ratio</w:t>
            </w:r>
          </w:p>
        </w:tc>
      </w:tr>
      <w:tr>
        <w:trPr>
          <w:tblHeader/>
        </w:trPr>
        <w:tc>
          <w:tcPr>
            <w:tcW w:type="dxa" w:w="2500"/>
            <w:tcMar>
              <w:top w:type="dxa" w:w="30"/>
              <w:left w:type="dxa" w:w="100"/>
              <w:bottom w:type="dxa" w:w="30"/>
              <w:right w:type="dxa" w:w="100"/>
              <w:start w:w="80" w:type="dxa"/>
              <w:end w:w="80" w:type="dxa"/>
            </w:tcMar>
            <w:vAlign w:val="center"/>
          </w:tcPr>
          <w:p>
            <w:pPr>
              <w:spacing w:after="0"/>
            </w:pPr>
            <w:r>
              <w:rPr>
                <w:b w:val="0"/>
                <w:bCs/>
                <w:sz w:val="20"/>
                <w:szCs w:val="20"/>
              </w:rPr>
              <w:t>Information ratio</w:t>
            </w:r>
          </w:p>
        </w:tc>
        <w:tc>
          <w:tcPr>
            <w:tcW w:type="dxa" w:w="1900"/>
            <w:tcMar>
              <w:top w:type="dxa" w:w="30"/>
              <w:left w:type="dxa" w:w="100"/>
              <w:bottom w:type="dxa" w:w="30"/>
              <w:right w:type="dxa" w:w="100"/>
              <w:start w:w="80" w:type="dxa"/>
              <w:end w:w="80" w:type="dxa"/>
            </w:tcMar>
            <w:vAlign w:val="center"/>
          </w:tcPr>
          <w:p>
            <w:pPr>
              <w:spacing w:after="0"/>
            </w:pPr>
            <w:r>
              <w:rPr>
                <w:b w:val="0"/>
                <w:bCs/>
                <w:sz w:val="20"/>
                <w:szCs w:val="20"/>
              </w:rPr>
              <w:t>P4</w:t>
            </w:r>
          </w:p>
        </w:tc>
        <w:tc>
          <w:tcPr>
            <w:tcW w:type="dxa" w:w="4626"/>
            <w:tcMar>
              <w:top w:type="dxa" w:w="30"/>
              <w:left w:type="dxa" w:w="100"/>
              <w:bottom w:type="dxa" w:w="30"/>
              <w:right w:type="dxa" w:w="100"/>
              <w:start w:w="80" w:type="dxa"/>
              <w:end w:w="80" w:type="dxa"/>
            </w:tcMar>
            <w:vAlign w:val="center"/>
          </w:tcPr>
          <w:p>
            <w:pPr>
              <w:spacing w:after="0"/>
            </w:pPr>
            <w:r>
              <w:rPr>
                <w:b w:val="0"/>
                <w:bCs/>
                <w:sz w:val="20"/>
                <w:szCs w:val="20"/>
              </w:rPr>
              <w:t>metrics.py : information_ratio</w:t>
            </w:r>
          </w:p>
        </w:tc>
      </w:tr>
      <w:tr>
        <w:trPr>
          <w:tblHeader/>
        </w:trPr>
        <w:tc>
          <w:tcPr>
            <w:tcW w:type="dxa" w:w="2500"/>
            <w:tcMar>
              <w:top w:type="dxa" w:w="30"/>
              <w:left w:type="dxa" w:w="100"/>
              <w:bottom w:type="dxa" w:w="30"/>
              <w:right w:type="dxa" w:w="100"/>
              <w:start w:w="80" w:type="dxa"/>
              <w:end w:w="80" w:type="dxa"/>
            </w:tcMar>
            <w:vAlign w:val="center"/>
          </w:tcPr>
          <w:p>
            <w:pPr>
              <w:spacing w:after="0"/>
            </w:pPr>
            <w:r>
              <w:rPr>
                <w:b w:val="0"/>
                <w:bCs/>
                <w:sz w:val="20"/>
                <w:szCs w:val="20"/>
              </w:rPr>
              <w:t>Turnover / coûts</w:t>
            </w:r>
          </w:p>
        </w:tc>
        <w:tc>
          <w:tcPr>
            <w:tcW w:type="dxa" w:w="1900"/>
            <w:tcMar>
              <w:top w:type="dxa" w:w="30"/>
              <w:left w:type="dxa" w:w="100"/>
              <w:bottom w:type="dxa" w:w="30"/>
              <w:right w:type="dxa" w:w="100"/>
              <w:start w:w="80" w:type="dxa"/>
              <w:end w:w="80" w:type="dxa"/>
            </w:tcMar>
            <w:vAlign w:val="center"/>
          </w:tcPr>
          <w:p>
            <w:pPr>
              <w:spacing w:after="0"/>
            </w:pPr>
            <w:r>
              <w:rPr>
                <w:b w:val="0"/>
                <w:bCs/>
                <w:sz w:val="20"/>
                <w:szCs w:val="20"/>
              </w:rPr>
              <w:t>P1, P3 (réalisme)</w:t>
            </w:r>
          </w:p>
        </w:tc>
        <w:tc>
          <w:tcPr>
            <w:tcW w:type="dxa" w:w="4626"/>
            <w:tcMar>
              <w:top w:type="dxa" w:w="30"/>
              <w:left w:type="dxa" w:w="100"/>
              <w:bottom w:type="dxa" w:w="30"/>
              <w:right w:type="dxa" w:w="100"/>
              <w:start w:w="80" w:type="dxa"/>
              <w:end w:w="80" w:type="dxa"/>
            </w:tcMar>
            <w:vAlign w:val="center"/>
          </w:tcPr>
          <w:p>
            <w:pPr>
              <w:spacing w:after="0"/>
            </w:pPr>
            <w:r>
              <w:rPr>
                <w:b w:val="0"/>
                <w:bCs/>
                <w:sz w:val="20"/>
                <w:szCs w:val="20"/>
              </w:rPr>
              <w:t>backtest.py : run_backtest, build_cost_vector</w:t>
            </w:r>
          </w:p>
        </w:tc>
      </w:tr>
      <w:tr>
        <w:trPr>
          <w:tblHeader/>
        </w:trPr>
        <w:tc>
          <w:tcPr>
            <w:tcW w:type="dxa" w:w="2500"/>
            <w:tcMar>
              <w:top w:type="dxa" w:w="30"/>
              <w:left w:type="dxa" w:w="100"/>
              <w:bottom w:type="dxa" w:w="30"/>
              <w:right w:type="dxa" w:w="100"/>
              <w:start w:w="80" w:type="dxa"/>
              <w:end w:w="80" w:type="dxa"/>
            </w:tcMar>
            <w:vAlign w:val="center"/>
          </w:tcPr>
          <w:p>
            <w:pPr>
              <w:spacing w:after="0"/>
            </w:pPr>
            <w:r>
              <w:rPr>
                <w:b w:val="0"/>
                <w:bCs/>
                <w:sz w:val="20"/>
                <w:szCs w:val="20"/>
              </w:rPr>
              <w:t>Deflated Sharpe Ratio</w:t>
            </w:r>
          </w:p>
        </w:tc>
        <w:tc>
          <w:tcPr>
            <w:tcW w:type="dxa" w:w="1900"/>
            <w:tcMar>
              <w:top w:type="dxa" w:w="30"/>
              <w:left w:type="dxa" w:w="100"/>
              <w:bottom w:type="dxa" w:w="30"/>
              <w:right w:type="dxa" w:w="100"/>
              <w:start w:w="80" w:type="dxa"/>
              <w:end w:w="80" w:type="dxa"/>
            </w:tcMar>
            <w:vAlign w:val="center"/>
          </w:tcPr>
          <w:p>
            <w:pPr>
              <w:spacing w:after="0"/>
            </w:pPr>
            <w:r>
              <w:rPr>
                <w:b w:val="0"/>
                <w:bCs/>
                <w:sz w:val="20"/>
                <w:szCs w:val="20"/>
              </w:rPr>
              <w:t>P4</w:t>
            </w:r>
          </w:p>
        </w:tc>
        <w:tc>
          <w:tcPr>
            <w:tcW w:type="dxa" w:w="4626"/>
            <w:tcMar>
              <w:top w:type="dxa" w:w="30"/>
              <w:left w:type="dxa" w:w="100"/>
              <w:bottom w:type="dxa" w:w="30"/>
              <w:right w:type="dxa" w:w="100"/>
              <w:start w:w="80" w:type="dxa"/>
              <w:end w:w="80" w:type="dxa"/>
            </w:tcMar>
            <w:vAlign w:val="center"/>
          </w:tcPr>
          <w:p>
            <w:pPr>
              <w:spacing w:after="0"/>
            </w:pPr>
            <w:r>
              <w:rPr>
                <w:b w:val="0"/>
                <w:bCs/>
                <w:sz w:val="20"/>
                <w:szCs w:val="20"/>
              </w:rPr>
              <w:t>metrics.py : deflated_sharpe_ratio</w:t>
            </w:r>
          </w:p>
        </w:tc>
      </w:tr>
      <w:tr>
        <w:trPr>
          <w:tblHeader/>
        </w:trPr>
        <w:tc>
          <w:tcPr>
            <w:tcW w:type="dxa" w:w="2500"/>
            <w:tcMar>
              <w:top w:type="dxa" w:w="30"/>
              <w:left w:type="dxa" w:w="100"/>
              <w:bottom w:type="dxa" w:w="30"/>
              <w:right w:type="dxa" w:w="100"/>
              <w:start w:w="80" w:type="dxa"/>
              <w:end w:w="80" w:type="dxa"/>
            </w:tcMar>
            <w:vAlign w:val="center"/>
          </w:tcPr>
          <w:p>
            <w:pPr>
              <w:spacing w:after="0"/>
            </w:pPr>
            <w:r>
              <w:rPr>
                <w:b w:val="0"/>
                <w:bCs/>
                <w:sz w:val="20"/>
                <w:szCs w:val="20"/>
              </w:rPr>
              <w:t>IC bootstrap par blocs</w:t>
            </w:r>
          </w:p>
        </w:tc>
        <w:tc>
          <w:tcPr>
            <w:tcW w:type="dxa" w:w="1900"/>
            <w:tcMar>
              <w:top w:type="dxa" w:w="30"/>
              <w:left w:type="dxa" w:w="100"/>
              <w:bottom w:type="dxa" w:w="30"/>
              <w:right w:type="dxa" w:w="100"/>
              <w:start w:w="80" w:type="dxa"/>
              <w:end w:w="80" w:type="dxa"/>
            </w:tcMar>
            <w:vAlign w:val="center"/>
          </w:tcPr>
          <w:p>
            <w:pPr>
              <w:spacing w:after="0"/>
            </w:pPr>
            <w:r>
              <w:rPr>
                <w:b w:val="0"/>
                <w:bCs/>
                <w:sz w:val="20"/>
                <w:szCs w:val="20"/>
              </w:rPr>
              <w:t>P4</w:t>
            </w:r>
          </w:p>
        </w:tc>
        <w:tc>
          <w:tcPr>
            <w:tcW w:type="dxa" w:w="4626"/>
            <w:tcMar>
              <w:top w:type="dxa" w:w="30"/>
              <w:left w:type="dxa" w:w="100"/>
              <w:bottom w:type="dxa" w:w="30"/>
              <w:right w:type="dxa" w:w="100"/>
              <w:start w:w="80" w:type="dxa"/>
              <w:end w:w="80" w:type="dxa"/>
            </w:tcMar>
            <w:vAlign w:val="center"/>
          </w:tcPr>
          <w:p>
            <w:pPr>
              <w:spacing w:after="0"/>
            </w:pPr>
            <w:r>
              <w:rPr>
                <w:b w:val="0"/>
                <w:bCs/>
                <w:sz w:val="20"/>
                <w:szCs w:val="20"/>
              </w:rPr>
              <w:t>metrics.py : block_bootstrap_sharpe_ci</w:t>
            </w:r>
          </w:p>
        </w:tc>
      </w:tr>
      <w:tr>
        <w:trPr>
          <w:tblHeader/>
        </w:trPr>
        <w:tc>
          <w:tcPr>
            <w:tcW w:type="dxa" w:w="2500"/>
            <w:tcMar>
              <w:top w:type="dxa" w:w="30"/>
              <w:left w:type="dxa" w:w="100"/>
              <w:bottom w:type="dxa" w:w="30"/>
              <w:right w:type="dxa" w:w="100"/>
              <w:start w:w="80" w:type="dxa"/>
              <w:end w:w="80" w:type="dxa"/>
            </w:tcMar>
            <w:vAlign w:val="center"/>
          </w:tcPr>
          <w:p>
            <w:pPr>
              <w:spacing w:after="0"/>
            </w:pPr>
            <w:r>
              <w:rPr>
                <w:b w:val="0"/>
                <w:bCs/>
                <w:sz w:val="20"/>
                <w:szCs w:val="20"/>
              </w:rPr>
              <w:t>Registre des essais (N)</w:t>
            </w:r>
          </w:p>
        </w:tc>
        <w:tc>
          <w:tcPr>
            <w:tcW w:type="dxa" w:w="1900"/>
            <w:tcMar>
              <w:top w:type="dxa" w:w="30"/>
              <w:left w:type="dxa" w:w="100"/>
              <w:bottom w:type="dxa" w:w="30"/>
              <w:right w:type="dxa" w:w="100"/>
              <w:start w:w="80" w:type="dxa"/>
              <w:end w:w="80" w:type="dxa"/>
            </w:tcMar>
            <w:vAlign w:val="center"/>
          </w:tcPr>
          <w:p>
            <w:pPr>
              <w:spacing w:after="0"/>
            </w:pPr>
            <w:r>
              <w:rPr>
                <w:b w:val="0"/>
                <w:bCs/>
                <w:sz w:val="20"/>
                <w:szCs w:val="20"/>
              </w:rPr>
              <w:t>P4</w:t>
            </w:r>
          </w:p>
        </w:tc>
        <w:tc>
          <w:tcPr>
            <w:tcW w:type="dxa" w:w="4626"/>
            <w:tcMar>
              <w:top w:type="dxa" w:w="30"/>
              <w:left w:type="dxa" w:w="100"/>
              <w:bottom w:type="dxa" w:w="30"/>
              <w:right w:type="dxa" w:w="100"/>
              <w:start w:w="80" w:type="dxa"/>
              <w:end w:w="80" w:type="dxa"/>
            </w:tcMar>
            <w:vAlign w:val="center"/>
          </w:tcPr>
          <w:p>
            <w:pPr>
              <w:spacing w:after="0"/>
            </w:pPr>
            <w:r>
              <w:rPr>
                <w:b w:val="0"/>
                <w:bCs/>
                <w:sz w:val="20"/>
                <w:szCs w:val="20"/>
              </w:rPr>
              <w:t>metrics.py : DSRTrialLedger</w:t>
            </w:r>
          </w:p>
        </w:tc>
      </w:tr>
      <w:tr>
        <w:trPr>
          <w:tblHeader/>
        </w:trPr>
        <w:tc>
          <w:tcPr>
            <w:tcW w:type="dxa" w:w="2500"/>
            <w:tcMar>
              <w:top w:type="dxa" w:w="30"/>
              <w:left w:type="dxa" w:w="100"/>
              <w:bottom w:type="dxa" w:w="30"/>
              <w:right w:type="dxa" w:w="100"/>
              <w:start w:w="80" w:type="dxa"/>
              <w:end w:w="80" w:type="dxa"/>
            </w:tcMar>
            <w:vAlign w:val="center"/>
          </w:tcPr>
          <w:p>
            <w:pPr>
              <w:spacing w:after="0"/>
            </w:pPr>
            <w:r>
              <w:rPr>
                <w:b w:val="0"/>
                <w:bCs/>
                <w:sz w:val="20"/>
                <w:szCs w:val="20"/>
              </w:rPr>
              <w:t>Coefficient d'information</w:t>
            </w:r>
          </w:p>
        </w:tc>
        <w:tc>
          <w:tcPr>
            <w:tcW w:type="dxa" w:w="1900"/>
            <w:tcMar>
              <w:top w:type="dxa" w:w="30"/>
              <w:left w:type="dxa" w:w="100"/>
              <w:bottom w:type="dxa" w:w="30"/>
              <w:right w:type="dxa" w:w="100"/>
              <w:start w:w="80" w:type="dxa"/>
              <w:end w:w="80" w:type="dxa"/>
            </w:tcMar>
            <w:vAlign w:val="center"/>
          </w:tcPr>
          <w:p>
            <w:pPr>
              <w:spacing w:after="0"/>
            </w:pPr>
            <w:r>
              <w:rPr>
                <w:b w:val="0"/>
                <w:bCs/>
                <w:sz w:val="20"/>
                <w:szCs w:val="20"/>
              </w:rPr>
              <w:t>P4</w:t>
            </w:r>
          </w:p>
        </w:tc>
        <w:tc>
          <w:tcPr>
            <w:tcW w:type="dxa" w:w="4626"/>
            <w:tcMar>
              <w:top w:type="dxa" w:w="30"/>
              <w:left w:type="dxa" w:w="100"/>
              <w:bottom w:type="dxa" w:w="30"/>
              <w:right w:type="dxa" w:w="100"/>
              <w:start w:w="80" w:type="dxa"/>
              <w:end w:w="80" w:type="dxa"/>
            </w:tcMar>
            <w:vAlign w:val="center"/>
          </w:tcPr>
          <w:p>
            <w:pPr>
              <w:spacing w:after="0"/>
            </w:pPr>
            <w:r>
              <w:rPr>
                <w:b w:val="0"/>
                <w:bCs/>
                <w:sz w:val="20"/>
                <w:szCs w:val="20"/>
              </w:rPr>
              <w:t>model_selection.py : information_coefficient</w:t>
            </w:r>
          </w:p>
        </w:tc>
      </w:tr>
      <w:tr>
        <w:trPr>
          <w:tblHeader/>
        </w:trPr>
        <w:tc>
          <w:tcPr>
            <w:tcW w:type="dxa" w:w="2500"/>
            <w:tcMar>
              <w:top w:type="dxa" w:w="30"/>
              <w:left w:type="dxa" w:w="100"/>
              <w:bottom w:type="dxa" w:w="30"/>
              <w:right w:type="dxa" w:w="100"/>
              <w:start w:w="80" w:type="dxa"/>
              <w:end w:w="80" w:type="dxa"/>
            </w:tcMar>
            <w:vAlign w:val="center"/>
          </w:tcPr>
          <w:p>
            <w:pPr>
              <w:spacing w:after="0"/>
            </w:pPr>
            <w:r>
              <w:rPr>
                <w:b w:val="0"/>
                <w:bCs/>
                <w:sz w:val="20"/>
                <w:szCs w:val="20"/>
              </w:rPr>
              <w:t>ADF + KPSS</w:t>
            </w:r>
          </w:p>
        </w:tc>
        <w:tc>
          <w:tcPr>
            <w:tcW w:type="dxa" w:w="1900"/>
            <w:tcMar>
              <w:top w:type="dxa" w:w="30"/>
              <w:left w:type="dxa" w:w="100"/>
              <w:bottom w:type="dxa" w:w="30"/>
              <w:right w:type="dxa" w:w="100"/>
              <w:start w:w="80" w:type="dxa"/>
              <w:end w:w="80" w:type="dxa"/>
            </w:tcMar>
            <w:vAlign w:val="center"/>
          </w:tcPr>
          <w:p>
            <w:pPr>
              <w:spacing w:after="0"/>
            </w:pPr>
            <w:r>
              <w:rPr>
                <w:b w:val="0"/>
                <w:bCs/>
                <w:sz w:val="20"/>
                <w:szCs w:val="20"/>
              </w:rPr>
              <w:t>P2</w:t>
            </w:r>
          </w:p>
        </w:tc>
        <w:tc>
          <w:tcPr>
            <w:tcW w:type="dxa" w:w="4626"/>
            <w:tcMar>
              <w:top w:type="dxa" w:w="30"/>
              <w:left w:type="dxa" w:w="100"/>
              <w:bottom w:type="dxa" w:w="30"/>
              <w:right w:type="dxa" w:w="100"/>
              <w:start w:w="80" w:type="dxa"/>
              <w:end w:w="80" w:type="dxa"/>
            </w:tcMar>
            <w:vAlign w:val="center"/>
          </w:tcPr>
          <w:p>
            <w:pPr>
              <w:spacing w:after="0"/>
            </w:pPr>
            <w:r>
              <w:rPr>
                <w:b w:val="0"/>
                <w:bCs/>
                <w:sz w:val="20"/>
                <w:szCs w:val="20"/>
              </w:rPr>
              <w:t>features.py : run_stationarity_tests</w:t>
            </w:r>
          </w:p>
        </w:tc>
      </w:tr>
      <w:tr>
        <w:trPr>
          <w:tblHeader/>
        </w:trPr>
        <w:tc>
          <w:tcPr>
            <w:tcW w:type="dxa" w:w="2500"/>
            <w:tcMar>
              <w:top w:type="dxa" w:w="30"/>
              <w:left w:type="dxa" w:w="100"/>
              <w:bottom w:type="dxa" w:w="30"/>
              <w:right w:type="dxa" w:w="100"/>
              <w:start w:w="80" w:type="dxa"/>
              <w:end w:w="80" w:type="dxa"/>
            </w:tcMar>
            <w:vAlign w:val="center"/>
          </w:tcPr>
          <w:p>
            <w:pPr>
              <w:spacing w:after="0"/>
            </w:pPr>
            <w:r>
              <w:rPr>
                <w:b w:val="0"/>
                <w:bCs/>
                <w:sz w:val="20"/>
                <w:szCs w:val="20"/>
              </w:rPr>
              <w:t>Panneau agrégé</w:t>
            </w:r>
          </w:p>
        </w:tc>
        <w:tc>
          <w:tcPr>
            <w:tcW w:type="dxa" w:w="1900"/>
            <w:tcMar>
              <w:top w:type="dxa" w:w="30"/>
              <w:left w:type="dxa" w:w="100"/>
              <w:bottom w:type="dxa" w:w="30"/>
              <w:right w:type="dxa" w:w="100"/>
              <w:start w:w="80" w:type="dxa"/>
              <w:end w:w="80" w:type="dxa"/>
            </w:tcMar>
            <w:vAlign w:val="center"/>
          </w:tcPr>
          <w:p>
            <w:pPr>
              <w:spacing w:after="0"/>
            </w:pPr>
            <w:r>
              <w:rPr>
                <w:b w:val="0"/>
                <w:bCs/>
                <w:sz w:val="20"/>
                <w:szCs w:val="20"/>
              </w:rPr>
              <w:t>P4</w:t>
            </w:r>
          </w:p>
        </w:tc>
        <w:tc>
          <w:tcPr>
            <w:tcW w:type="dxa" w:w="4626"/>
            <w:tcMar>
              <w:top w:type="dxa" w:w="30"/>
              <w:left w:type="dxa" w:w="100"/>
              <w:bottom w:type="dxa" w:w="30"/>
              <w:right w:type="dxa" w:w="100"/>
              <w:start w:w="80" w:type="dxa"/>
              <w:end w:w="80" w:type="dxa"/>
            </w:tcMar>
            <w:vAlign w:val="center"/>
          </w:tcPr>
          <w:p>
            <w:pPr>
              <w:spacing w:after="0"/>
            </w:pPr>
            <w:r>
              <w:rPr>
                <w:b w:val="0"/>
                <w:bCs/>
                <w:sz w:val="20"/>
                <w:szCs w:val="20"/>
              </w:rPr>
              <w:t>metrics.py : summarize</w:t>
            </w:r>
          </w:p>
        </w:tc>
      </w:tr>
      <w:tr>
        <w:tc>
          <w:tcPr>
            <w:tcW w:type="dxa" w:w="2500"/>
            <w:tcMar>
              <w:top w:w="30" w:type="dxa"/>
              <w:bottom w:w="30" w:type="dxa"/>
              <w:start w:w="80" w:type="dxa"/>
              <w:end w:w="80" w:type="dxa"/>
            </w:tcMar>
          </w:tcPr>
          <w:p>
            <w:pPr>
              <w:spacing w:after="0"/>
            </w:pPr>
            <w:r>
              <w:rPr>
                <w:sz w:val="20"/>
              </w:rPr>
              <w:t>Bootstrap pairé</w:t>
            </w:r>
          </w:p>
        </w:tc>
        <w:tc>
          <w:tcPr>
            <w:tcW w:type="dxa" w:w="1900"/>
            <w:tcMar>
              <w:top w:w="30" w:type="dxa"/>
              <w:bottom w:w="30" w:type="dxa"/>
              <w:start w:w="80" w:type="dxa"/>
              <w:end w:w="80" w:type="dxa"/>
            </w:tcMar>
          </w:tcPr>
          <w:p>
            <w:pPr>
              <w:spacing w:after="0"/>
            </w:pPr>
            <w:r>
              <w:rPr>
                <w:sz w:val="20"/>
              </w:rPr>
              <w:t>P4</w:t>
            </w:r>
          </w:p>
        </w:tc>
        <w:tc>
          <w:tcPr>
            <w:tcW w:type="dxa" w:w="4626"/>
            <w:tcMar>
              <w:top w:w="30" w:type="dxa"/>
              <w:bottom w:w="30" w:type="dxa"/>
              <w:start w:w="80" w:type="dxa"/>
              <w:end w:w="80" w:type="dxa"/>
            </w:tcMar>
          </w:tcPr>
          <w:p>
            <w:pPr>
              <w:spacing w:after="0"/>
            </w:pPr>
            <w:r>
              <w:rPr>
                <w:sz w:val="20"/>
              </w:rPr>
              <w:t>metrics.py : paired_block_bootstrap</w:t>
            </w:r>
          </w:p>
        </w:tc>
      </w:tr>
      <w:tr>
        <w:tc>
          <w:tcPr>
            <w:tcW w:type="dxa" w:w="2500"/>
            <w:tcMar>
              <w:top w:w="30" w:type="dxa"/>
              <w:bottom w:w="30" w:type="dxa"/>
              <w:start w:w="80" w:type="dxa"/>
              <w:end w:w="80" w:type="dxa"/>
            </w:tcMar>
          </w:tcPr>
          <w:p>
            <w:pPr>
              <w:spacing w:after="0"/>
            </w:pPr>
            <w:r>
              <w:rPr>
                <w:sz w:val="20"/>
              </w:rPr>
              <w:t>White RC + Hansen SPA</w:t>
            </w:r>
          </w:p>
        </w:tc>
        <w:tc>
          <w:tcPr>
            <w:tcW w:type="dxa" w:w="1900"/>
            <w:tcMar>
              <w:top w:w="30" w:type="dxa"/>
              <w:bottom w:w="30" w:type="dxa"/>
              <w:start w:w="80" w:type="dxa"/>
              <w:end w:w="80" w:type="dxa"/>
            </w:tcMar>
          </w:tcPr>
          <w:p>
            <w:pPr>
              <w:spacing w:after="0"/>
            </w:pPr>
            <w:r>
              <w:rPr>
                <w:sz w:val="20"/>
              </w:rPr>
              <w:t>P4</w:t>
            </w:r>
          </w:p>
        </w:tc>
        <w:tc>
          <w:tcPr>
            <w:tcW w:type="dxa" w:w="4626"/>
            <w:tcMar>
              <w:top w:w="30" w:type="dxa"/>
              <w:bottom w:w="30" w:type="dxa"/>
              <w:start w:w="80" w:type="dxa"/>
              <w:end w:w="80" w:type="dxa"/>
            </w:tcMar>
          </w:tcPr>
          <w:p>
            <w:pPr>
              <w:spacing w:after="0"/>
            </w:pPr>
            <w:r>
              <w:rPr>
                <w:sz w:val="20"/>
              </w:rPr>
              <w:t>reality_check.py : evaluate_candidate_set</w:t>
            </w:r>
          </w:p>
        </w:tc>
      </w:tr>
    </w:tbl>
    <w:p>
      <w:pPr>
        <w:spacing w:after="160"/>
      </w:pPr>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EURAFRIC Information — PFA INPT — Page </w:t>
    </w:r>
    <w:r>
      <w:rPr>
        <w:color w:val="80808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Annexe — Métriques d'évaluation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Calibri" w:cs="Calibri" w:eastAsia="Calibri" w:hAnsi="Calibri"/>
      <w:b/>
      <w:bCs/>
      <w:color w:val="1F3864"/>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Livrable Phase 5 — Évaluation Hors-Échantillon</dc:title>
  <dc:creator>Souhail Bourhim</dc:creator>
  <cp:lastModifiedBy>Un-named</cp:lastModifiedBy>
  <cp:revision>1</cp:revision>
  <dcterms:created xsi:type="dcterms:W3CDTF">2026-07-22T00:40:00.167Z</dcterms:created>
  <dcterms:modified xsi:type="dcterms:W3CDTF">2026-07-22T00:40:00.175Z</dcterms:modified>
</cp:coreProperties>
</file>

<file path=docProps/custom.xml><?xml version="1.0" encoding="utf-8"?>
<Properties xmlns="http://schemas.openxmlformats.org/officeDocument/2006/custom-properties" xmlns:vt="http://schemas.openxmlformats.org/officeDocument/2006/docPropsVTypes"/>
</file>