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300"/>
        <w:jc w:val="center"/>
      </w:pPr>
      <w:r>
        <w:rPr>
          <w:b/>
          <w:bCs/>
          <w:color w:val="1F3864"/>
          <w:sz w:val="32"/>
          <w:szCs w:val="32"/>
        </w:rPr>
        <w:t xml:space="preserve">Système d'Optimisation de Portefeuille par Machine Learning</w:t>
      </w:r>
    </w:p>
    <w:p>
      <w:pPr>
        <w:spacing w:after="200"/>
        <w:jc w:val="center"/>
      </w:pPr>
      <w:r>
        <w:rPr>
          <w:b/>
          <w:bCs/>
          <w:sz w:val="26"/>
          <w:szCs w:val="26"/>
        </w:rPr>
        <w:t xml:space="preserve">Livrable de la Phase 5 — Évaluation Hors-Échantillon</w:t>
      </w:r>
    </w:p>
    <w:p>
      <w:pPr>
        <w:spacing w:after="600"/>
        <w:jc w:val="center"/>
      </w:pPr>
      <w:r>
        <w:rPr>
          <w:i/>
          <w:iCs/>
          <w:color w:val="595959"/>
          <w:sz w:val="20"/>
          <w:szCs w:val="20"/>
        </w:rPr>
        <w:t xml:space="preserve">Validation croisée purgée · sélection honnête · intervalles de confiance · Sharpe déflaté</w:t>
      </w:r>
    </w:p>
    <w:p>
      <w:pPr>
        <w:spacing w:after="120"/>
        <w:jc w:val="center"/>
      </w:pPr>
      <w:r>
        <w:rPr>
          <w:sz w:val="22"/>
          <w:szCs w:val="22"/>
        </w:rPr>
        <w:t xml:space="preserve">EURAFRIC Information — Projet de Fin d'Année (PFA)</w:t>
      </w:r>
    </w:p>
    <w:p>
      <w:pPr>
        <w:spacing w:after="120"/>
        <w:jc w:val="center"/>
      </w:pPr>
      <w:r>
        <w:rPr>
          <w:sz w:val="22"/>
          <w:szCs w:val="22"/>
        </w:rPr>
        <w:t xml:space="preserve">Institut National des Postes et Télécommunications (INPT)</w:t>
      </w:r>
    </w:p>
    <w:p>
      <w:pPr>
        <w:spacing w:after="120"/>
        <w:jc w:val="center"/>
      </w:pPr>
      <w:r>
        <w:rPr>
          <w:color w:val="595959"/>
          <w:sz w:val="20"/>
          <w:szCs w:val="20"/>
        </w:rPr>
        <w:t xml:space="preserve">Équipe : Souhail Bourhim · Zakarya EL WALI · Yasmine BOUAJINE</w:t>
      </w:r>
    </w:p>
    <w:p>
      <w:pPr>
        <w:spacing w:after="120"/>
        <w:jc w:val="center"/>
      </w:pPr>
      <w:r>
        <w:rPr>
          <w:color w:val="595959"/>
          <w:sz w:val="20"/>
          <w:szCs w:val="20"/>
        </w:rPr>
        <w:t xml:space="preserve">Encadrant : Abdelmouttalib</w:t>
      </w:r>
    </w:p>
    <w:p>
      <w:pPr>
        <w:jc w:val="center"/>
      </w:pPr>
      <w:r>
        <w:rPr>
          <w:color w:val="595959"/>
          <w:sz w:val="20"/>
          <w:szCs w:val="20"/>
        </w:rPr>
        <w:t xml:space="preserve">Juillet 2026</w:t>
      </w:r>
    </w:p>
    <w:p>
      <w:pPr>
        <w:pageBreakBefore/>
      </w:pPr>
    </w:p>
    <w:p>
      <w:pPr>
        <w:pStyle w:val="Heading1"/>
        <w:spacing w:after="120" w:before="240"/>
      </w:pPr>
      <w:r>
        <w:t xml:space="preserve">1. Objectif et motivation</w:t>
      </w:r>
    </w:p>
    <w:p>
      <w:pPr>
        <w:spacing w:after="160"/>
      </w:pPr>
      <w:r>
        <w:t xml:space="preserve">Toutes les phases précédentes rapportaient un ratio de Sharpe </w:t>
      </w:r>
      <w:r>
        <w:rPr>
          <w:i/>
          <w:iCs/>
        </w:rPr>
        <w:t xml:space="preserve">ponctuel</w:t>
      </w:r>
      <w:r>
        <w:t xml:space="preserve">, issu d'un unique passage sur la fenêtre complète. La Phase 4C s'est conclue sur une quasi-égalité (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rf_signal_shrunk</w:t>
      </w:r>
      <w:r>
        <w:t xml:space="preserve"> à 1,117 contre la haie de 1,1215) avec des hyperparamètres </w:t>
      </w:r>
      <w:r>
        <w:rPr>
          <w:b/>
          <w:bCs/>
        </w:rPr>
        <w:t xml:space="preserve">choisis, non optimisés</w:t>
      </w:r>
      <w:r>
        <w:t xml:space="preserve">. La Phase 5 est l'évaluateur honnête : elle sélectionne les hyperparamètres F7 </w:t>
      </w:r>
      <w:r>
        <w:rPr>
          <w:b/>
          <w:bCs/>
        </w:rPr>
        <w:t xml:space="preserve">sans fuite de données</w:t>
      </w:r>
      <w:r>
        <w:t xml:space="preserve">, rapporte le verdict sur des données que la sélection </w:t>
      </w:r>
      <w:r>
        <w:rPr>
          <w:b/>
          <w:bCs/>
        </w:rPr>
        <w:t xml:space="preserve">n'a jamais vues</w:t>
      </w:r>
      <w:r>
        <w:t xml:space="preserve">, et attache un </w:t>
      </w:r>
      <w:r>
        <w:rPr>
          <w:b/>
          <w:bCs/>
        </w:rPr>
        <w:t xml:space="preserve">intervalle de confiance</w:t>
      </w:r>
      <w:r>
        <w:t xml:space="preserve"> à chaque chiffre.</w:t>
      </w:r>
    </w:p>
    <w:p>
      <w:pPr>
        <w:spacing w:after="160"/>
      </w:pPr>
      <w:r>
        <w:t xml:space="preserve">C'est précisément l'exigence du cahier des charges EURAFRIC : «</w:t>
      </w:r>
      <w:r>
        <w:rPr>
          <w:i/>
          <w:iCs/>
        </w:rPr>
        <w:t xml:space="preserve">une attention particulière portée à la robustesse, au risque de surapprentissage</w:t>
      </w:r>
      <w:r>
        <w:t xml:space="preserve"> ». La Phase 5 rend cette attention concrète.</w:t>
      </w:r>
    </w:p>
    <w:p>
      <w:pPr>
        <w:pStyle w:val="Heading1"/>
        <w:spacing w:after="120" w:before="240"/>
      </w:pPr>
      <w:r>
        <w:t xml:space="preserve">2. L'architecture de sélection honnête</w:t>
      </w:r>
    </w:p>
    <w:p>
      <w:pPr>
        <w:spacing w:after="160"/>
      </w:pPr>
      <w:r>
        <w:t xml:space="preserve">Un découpage temporel strict : les derniers </w:t>
      </w:r>
      <w:r>
        <w:rPr>
          <w:b/>
          <w:bCs/>
        </w:rPr>
        <w:t xml:space="preserve">35 %</w:t>
      </w:r>
      <w:r>
        <w:t xml:space="preserve"> de chaque univers forment un </w:t>
      </w:r>
      <w:r>
        <w:rPr>
          <w:b/>
          <w:bCs/>
        </w:rPr>
        <w:t xml:space="preserve">segment de test gelé</w:t>
      </w:r>
      <w:r>
        <w:t xml:space="preserve"> qu'aucun sélecteur ne touche. Sur la partie entraînement+validation, </w:t>
      </w:r>
      <w:r>
        <w:rPr>
          <w:b/>
          <w:bCs/>
        </w:rPr>
        <w:t xml:space="preserve">deux objectifs, deux outils</w:t>
      </w:r>
      <w:r>
        <w:t xml:space="preserve"> (le choix méthodologique délibéré)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Hyperparamètres ML</w:t>
      </w:r>
      <w:r>
        <w:t xml:space="preserve"> (profondeur/feuilles/taux des RF/XGB) — problème d'échantillons quasi-i.i.d. étiquetés → </w:t>
      </w:r>
      <w:r>
        <w:rPr>
          <w:b/>
          <w:bCs/>
        </w:rPr>
        <w:t xml:space="preserve">K-Fold purgé et embargoé</w:t>
      </w:r>
      <w:r>
        <w:t xml:space="preserve">, noté par le </w:t>
      </w:r>
      <w:r>
        <w:rPr>
          <w:b/>
          <w:bCs/>
        </w:rPr>
        <w:t xml:space="preserve">coefficient d'information</w:t>
      </w:r>
      <w:r>
        <w:t xml:space="preserve"> (corrélation de rang de Spearman entre rendements prédits et réalisés : pour un signal, c'est l'ordre qui doit généraliser).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Leviers de construction de portefeuille</w:t>
      </w:r>
      <w:r>
        <w:t xml:space="preserve"> (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shrinkage_weight</w:t>
      </w:r>
      <w:r>
        <w:t xml:space="preserve">,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turnover_penalty</w:t>
      </w:r>
      <w:r>
        <w:t xml:space="preserve"> par modèle) — objectif de Sharpe net sur une série temporelle → </w:t>
      </w:r>
      <w:r>
        <w:rPr>
          <w:b/>
          <w:bCs/>
        </w:rPr>
        <w:t xml:space="preserve">Sharpe net du segment de validation</w:t>
      </w:r>
      <w:r>
        <w:t xml:space="preserve"> via le vrai moteur. Utiliser le K-Fold ici serait une erreur de catégorie (les rendements de portefeuille sont dépendants, non échangeables).</w:t>
      </w:r>
    </w:p>
    <w:p>
      <w:pPr>
        <w:spacing w:after="160"/>
      </w:pPr>
      <w:r>
        <w:t xml:space="preserve">Ensuite : </w:t>
      </w:r>
      <w:r>
        <w:rPr>
          <w:b/>
          <w:bCs/>
        </w:rPr>
        <w:t xml:space="preserve">GEL</w:t>
      </w:r>
      <w:r>
        <w:t xml:space="preserve">, puis évaluation sur le segment de test aux côtés de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regime_conditional</w:t>
      </w:r>
      <w:r>
        <w:t xml:space="preserve"> (la haie) et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equal_weight</w:t>
      </w:r>
      <w:r>
        <w:t xml:space="preserve"> ré-évalués sur les </w:t>
      </w:r>
      <w:r>
        <w:rPr>
          <w:b/>
          <w:bCs/>
        </w:rPr>
        <w:t xml:space="preserve">mêmes dates de test</w:t>
      </w:r>
      <w:r>
        <w:t xml:space="preserve"> — une comparaison strictement équitable.</w:t>
      </w:r>
    </w:p>
    <w:p>
      <w:pPr>
        <w:spacing w:after="160"/>
      </w:pPr>
      <w:r>
        <w:rPr>
          <w:b/>
          <w:bCs/>
        </w:rPr>
        <w:t xml:space="preserve">Note anti-fuite (P4). </w:t>
      </w:r>
      <w:r>
        <w:t xml:space="preserve">Le module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purged_kfold.py</w:t>
      </w:r>
      <w:r>
        <w:t xml:space="preserve"> (implémentation maison d'après López de Prado 2018 ch.7, </w:t>
      </w:r>
      <w:r>
        <w:rPr>
          <w:b/>
          <w:bCs/>
        </w:rPr>
        <w:t xml:space="preserve">pas mlfinlab</w:t>
      </w:r>
      <w:r>
        <w:t xml:space="preserve">) purge </w:t>
      </w:r>
      <w:r>
        <w:rPr>
          <w:b/>
          <w:bCs/>
        </w:rPr>
        <w:t xml:space="preserve">par date</w:t>
      </w:r>
      <w:r>
        <w:t xml:space="preserve"> sur le panel (Date, ACTIF) — purger par ligne placerait un même jour partiellement en entraînement et en test. Le test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tests/test_purged_kfold.py</w:t>
      </w:r>
      <w:r>
        <w:t xml:space="preserve"> garantit qu'aucun échantillon d'entraînement ne tombe dans [début_test − horizon, fin_test + embargo] ; il doit être vert avant que quoi que ce soit ne le consomme.</w:t>
      </w:r>
    </w:p>
    <w:p>
      <w:pPr>
        <w:pStyle w:val="Heading1"/>
        <w:spacing w:after="120" w:before="240"/>
      </w:pPr>
      <w:r>
        <w:t xml:space="preserve">3. Le verdict hors-échantillon — avec barres d'erreur</w:t>
      </w:r>
    </w:p>
    <w:p>
      <w:pPr>
        <w:spacing w:after="160"/>
      </w:pPr>
      <w:r>
        <w:t xml:space="preserve">Sharpe net du </w:t>
      </w:r>
      <w:r>
        <w:rPr>
          <w:b/>
          <w:bCs/>
        </w:rPr>
        <w:t xml:space="preserve">segment de test</w:t>
      </w:r>
      <w:r>
        <w:t xml:space="preserve"> (fenêtre jamais vue par la sélection), avec intervalle de confiance à 90 % par bootstrap par blocs. </w:t>
      </w:r>
      <w:r>
        <w:rPr>
          <w:b/>
          <w:bCs/>
        </w:rPr>
        <w:t xml:space="preserve">Quand les intervalles se chevauchent, les stratégies sont statistiquement indiscernables</w:t>
      </w:r>
      <w:r>
        <w:t xml:space="preserve">, quelles que soient les estimations ponctuelles.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00"/>
        <w:gridCol w:w="2100"/>
        <w:gridCol w:w="2100"/>
        <w:gridCol w:w="1900"/>
      </w:tblGrid>
      <w:tr>
        <w:trPr>
          <w:tblHeader/>
        </w:trP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Univers (fenêtre de test)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RF optimisé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XGB optimisé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regime_conditional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equal_weight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etf_2017 (2023-03→2026-07)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1,438 [0,70 ; 2,31]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1,449 [0,72 ; 2,31]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1,373 [0,63 ; 2,20]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1,407 [0,67 ; 2,28]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full_2021 (2024-10→2026-07)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0,785 [−0,12 ; 1,76]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0,886 [−0,06 ; 1,90]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1,199 [0,19 ; 2,28]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0,866 [−0,20 ; 2,00]</w:t>
            </w:r>
          </w:p>
        </w:tc>
      </w:tr>
    </w:tbl>
    <w:p>
      <w:pPr>
        <w:spacing w:after="200"/>
      </w:pPr>
      <w:r>
        <w:rPr>
          <w:i/>
          <w:iCs/>
        </w:rPr>
        <w:t xml:space="preserve">Sur etf_2017, l'estimation ponctuelle du XGB optimisé dépasse la haie ; sur full_2021, la haie domine. Mais sur les DEUX univers, tous les intervalles de confiance à 90 % se chevauchent largement (~1,5 à 2,4 de Sharpe d'amplitude).</w:t>
      </w:r>
    </w:p>
    <w:p>
      <w:pPr>
        <w:pStyle w:val="Heading1"/>
        <w:spacing w:after="120" w:before="240"/>
      </w:pPr>
      <w:r>
        <w:t xml:space="preserve">4. La conclusion honnête</w:t>
      </w:r>
    </w:p>
    <w:p>
      <w:pPr>
        <w:spacing w:after="160"/>
      </w:pPr>
      <w:r>
        <w:rPr>
          <w:b/>
          <w:bCs/>
        </w:rPr>
        <w:t xml:space="preserve">Énoncée une fois pour qu'elle ne dérive pas : </w:t>
      </w:r>
      <w:r>
        <w:t xml:space="preserve">hors-échantillon, sur données gelées et avec de vraies barres d'erreur, les modèles F7 honnêtement optimisés et la ligne de base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regime_conditional</w:t>
      </w:r>
      <w:r>
        <w:t xml:space="preserve"> sont </w:t>
      </w:r>
      <w:r>
        <w:rPr>
          <w:b/>
          <w:bCs/>
        </w:rPr>
        <w:t xml:space="preserve">statistiquement indiscernables sur les deux univers</w:t>
      </w:r>
      <w:r>
        <w:t xml:space="preserve">. L'estimation ponctuelle gagnante </w:t>
      </w:r>
      <w:r>
        <w:rPr>
          <w:i/>
          <w:iCs/>
        </w:rPr>
        <w:t xml:space="preserve">s'inverse même</w:t>
      </w:r>
      <w:r>
        <w:t xml:space="preserve"> selon l'univers (le XGB optimisé dépasse nominalement la haie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etf_2017</w:t>
      </w:r>
      <w:r>
        <w:t xml:space="preserve"> ; la haie mène clairement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), mais chaque intervalle de confiance est large et chevauchant. Les comparaisons ponctuelles bien nettes des phases 4B–4C (1,117 contre 1,1215) étaient dans le bruit depuis le début.</w:t>
      </w:r>
    </w:p>
    <w:p>
      <w:pPr>
        <w:spacing w:after="160"/>
      </w:pPr>
      <w:r>
        <w:rPr>
          <w:b/>
          <w:bCs/>
        </w:rPr>
        <w:t xml:space="preserve">C'est un résultat fort, pas une déception. </w:t>
      </w:r>
      <w:r>
        <w:t xml:space="preserve">Le Sharpe déflaté de la meilleure stratégie optimisée face à l'ensemble des 36 configurations de la recherche vaut </w:t>
      </w:r>
      <w:r>
        <w:rPr>
          <w:b/>
          <w:bCs/>
        </w:rPr>
        <w:t xml:space="preserve">0,92</w:t>
      </w:r>
      <w:r>
        <w:t xml:space="preserve">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etf_2017</w:t>
      </w:r>
      <w:r>
        <w:t xml:space="preserve"> (crédible) et </w:t>
      </w:r>
      <w:r>
        <w:rPr>
          <w:b/>
          <w:bCs/>
        </w:rPr>
        <w:t xml:space="preserve">0,67</w:t>
      </w:r>
      <w:r>
        <w:t xml:space="preserve">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 (possiblement un artefact de sélection). Les coefficients d'information de la validation croisée sont honnêtement faibles (0,015–0,036), comme l'est habituellement la prédiction de rendements financiers.</w:t>
      </w:r>
    </w:p>
    <w:p>
      <w:pPr>
        <w:pStyle w:val="Heading1"/>
        <w:spacing w:after="120" w:before="240"/>
      </w:pPr>
      <w:r>
        <w:t xml:space="preserve">5. Traçabilité P1–P4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P4 (surapprentissage du backtest) — le cœur de la phase : </w:t>
      </w:r>
      <w:r>
        <w:t xml:space="preserve">K-Fold purgé (sélection ML sans fuite), segment de test gelé (verdict jamais vu par la sélection), intervalles de confiance par bootstrap par blocs, et un Sharpe déflaté qui compte </w:t>
      </w:r>
      <w:r>
        <w:rPr>
          <w:i/>
          <w:iCs/>
        </w:rPr>
        <w:t xml:space="preserve">toute</w:t>
      </w:r>
      <w:r>
        <w:t xml:space="preserve"> la recherche (chaque essai de la grille de validation est dans le registre accumulé,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DSRTrialLedger</w:t>
      </w:r>
      <w:r>
        <w:t xml:space="preserve">, clôturant l'écart §17.1).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P1/P2/P3 : </w:t>
      </w:r>
      <w:r>
        <w:t xml:space="preserve">les stratégies évaluées héritent des corrections des phases précédentes (covariance dynamique, régimes HMM, conditionnement au régime) ; la Phase 5 ne les modifie pas — elle les </w:t>
      </w:r>
      <w:r>
        <w:rPr>
          <w:i/>
          <w:iCs/>
        </w:rPr>
        <w:t xml:space="preserve">juge</w:t>
      </w:r>
      <w:r>
        <w:t xml:space="preserve"> honnêtement.</w:t>
      </w:r>
    </w:p>
    <w:p>
      <w:pPr>
        <w:pStyle w:val="Heading1"/>
        <w:spacing w:after="120" w:before="240"/>
      </w:pPr>
      <w:r>
        <w:t xml:space="preserve">6. Limites (restées explicites)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 fenêtre de test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 est courte (~1,75 an) — son DSR de 0,67 et ses larges intervalles le reflètent en partie ; un walk-forward imbriqué avec re-sélection périodique (extension documentée) utiliserait toute la fenêtre comme hors-échantillon et constitue la prochaine étape honnête pour un verdict plus serré.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N du DSR compte les configurations de </w:t>
      </w:r>
      <w:r>
        <w:rPr>
          <w:i/>
          <w:iCs/>
        </w:rPr>
        <w:t xml:space="preserve">cette</w:t>
      </w:r>
      <w:r>
        <w:t xml:space="preserve"> recherche, non « toutes les expériences jamais menées » (définition délibérément bornée et défendable).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LSTM (troisième famille F7) reste reporté depuis la Phase 4B après un segfault torch+xgboost — non abandonné, déféré à un matériel isolé.</w:t>
      </w:r>
    </w:p>
    <w:p>
      <w:pPr>
        <w:pStyle w:val="Heading1"/>
        <w:spacing w:after="120" w:before="240"/>
      </w:pPr>
      <w:r>
        <w:t xml:space="preserve">7. Conclusion</w:t>
      </w:r>
    </w:p>
    <w:p>
      <w:pPr>
        <w:spacing w:after="160"/>
      </w:pPr>
      <w:r>
        <w:t xml:space="preserve">La Phase 5 est l'aboutissement méthodologique du projet. Elle a construit la pile ML complète — détection de régime, covariance dynamique, signaux de prédiction adaptatifs, optimisation sensible aux coûts — puis l'a soumise à l'évaluation qu'exige le problème. Sa conclusion : </w:t>
      </w:r>
      <w:r>
        <w:rPr>
          <w:b/>
          <w:bCs/>
        </w:rPr>
        <w:t xml:space="preserve">la pile ML n'apporte aucun avantage statistiquement significatif</w:t>
      </w:r>
      <w:r>
        <w:t xml:space="preserve"> sur une ligne de base à commutation de régime bien construite, hors-échantillon. </w:t>
      </w:r>
      <w:r>
        <w:rPr>
          <w:b/>
          <w:bCs/>
        </w:rPr>
        <w:t xml:space="preserve">La machinerie d'évaluation qui le prouve rigoureusement — et qui détecterait un vrai avantage si un futur modèle en produisait un — est le livrable.</w:t>
      </w:r>
      <w:r>
        <w:t xml:space="preserve"> Une équipe qui rapporte un résultat nul sans fuite, avec barres d'erreur, comprend le problème bien mieux qu'une équipe qui rapporte un Sharpe gonflé.</w:t>
      </w:r>
    </w:p>
    <w:p>
      <w:pPr>
        <w:pStyle w:val="Heading1"/>
        <w:spacing w:after="120" w:before="240"/>
      </w:pPr>
      <w:r>
        <w:t xml:space="preserve">Références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López de Prado, M. (2018). Advances in Financial Machine Learning. Wiley — ch. 7 (Purged K-Fold), Deflated Sharpe Ratio.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Bailey, D. &amp; López de Prado, M. (2014). The Deflated Sharpe Ratio. Journal of Portfolio Management.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Politis, D. &amp; Romano, J. (1994). The Stationary Bootstrap. JASA — bootstrap par blocs pour séries dépendantes.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Chopra, V. &amp; Ziemba, W. (1993). The Effect of Errors in Means, Variances, and Covariances on Optimal Portfolio Choice.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DeMiguel, V., Garlappi, L. &amp; Uppal, R. (2009). Optimal Versus Naive Diversification — la haie equal_weight de référence.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EURAFRIC Information — PFA INPT — Page </w:t>
    </w:r>
    <w:r>
      <w:rPr>
        <w:color w:val="80808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Phase 5 — Évaluation Hors-Échantillon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Livrable Phase 5 — Évaluation Hors-Échantillon</dc:title>
  <dc:creator>Souhail Bourhim</dc:creator>
  <cp:lastModifiedBy>Un-named</cp:lastModifiedBy>
  <cp:revision>1</cp:revision>
  <dcterms:created xsi:type="dcterms:W3CDTF">2026-07-22T00:40:00.167Z</dcterms:created>
  <dcterms:modified xsi:type="dcterms:W3CDTF">2026-07-22T00:40:00.175Z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