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300"/>
        <w:jc w:val="center"/>
      </w:pPr>
      <w:r>
        <w:rPr>
          <w:b/>
          <w:bCs/>
          <w:color w:val="1F3864"/>
          <w:sz w:val="32"/>
          <w:szCs w:val="32"/>
        </w:rPr>
        <w:t xml:space="preserve">Système d'Optimisation de Portefeuille par Machine Learning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>Annexe — Métriques d'évaluation</w:t>
      </w:r>
    </w:p>
    <w:p>
      <w:pPr>
        <w:spacing w:after="600"/>
        <w:jc w:val="center"/>
      </w:pPr>
      <w:r>
        <w:rPr>
          <w:i/>
          <w:iCs/>
          <w:color w:val="595959"/>
          <w:sz w:val="20"/>
          <w:szCs w:val="20"/>
        </w:rPr>
        <w:t>Inventaire raisonné : définition, convention et rôle de chaque mesure employée dans le projet</w:t>
      </w:r>
    </w:p>
    <w:p>
      <w:pPr>
        <w:spacing w:after="120"/>
        <w:jc w:val="center"/>
      </w:pPr>
      <w:r>
        <w:rPr>
          <w:sz w:val="22"/>
          <w:szCs w:val="22"/>
        </w:rPr>
        <w:t xml:space="preserve">EURAFRIC Information — Projet de Fin d'Année (PFA)</w:t>
      </w:r>
    </w:p>
    <w:p>
      <w:pPr>
        <w:spacing w:after="120"/>
        <w:jc w:val="center"/>
      </w:pPr>
      <w:r>
        <w:rPr>
          <w:sz w:val="22"/>
          <w:szCs w:val="22"/>
        </w:rPr>
        <w:t xml:space="preserve">Institut National des Postes et Télécommunications (INPT)</w:t>
      </w:r>
    </w:p>
    <w:p>
      <w:pPr>
        <w:spacing w:after="120"/>
        <w:jc w:val="center"/>
      </w:pPr>
      <w:r>
        <w:rPr>
          <w:color w:val="595959"/>
          <w:sz w:val="20"/>
          <w:szCs w:val="20"/>
        </w:rPr>
        <w:t xml:space="preserve">Équipe : Souhail Bourhim · Zakarya EL WALI · Yasmine BOUAJINE</w:t>
      </w:r>
    </w:p>
    <w:p>
      <w:pPr>
        <w:spacing w:after="120"/>
        <w:jc w:val="center"/>
      </w:pPr>
      <w:r>
        <w:rPr>
          <w:color w:val="595959"/>
          <w:sz w:val="20"/>
          <w:szCs w:val="20"/>
        </w:rPr>
        <w:t xml:space="preserve">Encadrant : Abdelmouttalib</w:t>
      </w:r>
    </w:p>
    <w:p>
      <w:pPr>
        <w:jc w:val="center"/>
      </w:pPr>
      <w:r>
        <w:rPr>
          <w:color w:val="595959"/>
          <w:sz w:val="20"/>
          <w:szCs w:val="20"/>
        </w:rPr>
        <w:t xml:space="preserve">Juillet 2026</w:t>
      </w:r>
    </w:p>
    <w:p>
      <w:pPr>
        <w:pStyle w:val="Heading1"/>
        <w:spacing w:after="120" w:before="240"/>
      </w:pPr>
      <w:r>
        <w:rPr>
          <w:b/>
        </w:rPr>
        <w:t>1. Objet de ce document</w:t>
      </w:r>
    </w:p>
    <w:p>
      <w:pPr>
        <w:spacing w:after="160"/>
      </w:pPr>
      <w:r>
        <w:rPr>
          <w:color w:val="000000"/>
        </w:rPr>
        <w:t>Ce projet mobilise une vingtaine de mesures distinctes, réparties sur quatre couches : performance du portefeuille, contrôle du surapprentissage, sélection de modèle et diagnostic des données. Elles ne répondent pas à la même question et ne se lisent pas de la même façon. Cette annexe les recense en un seul endroit, avec pour chacune sa définition exacte, la convention retenue et — le point essentiel — la RAISON de sa présence.</w:t>
      </w:r>
    </w:p>
    <w:p>
      <w:pPr>
        <w:spacing w:after="160"/>
      </w:pPr>
      <w:r>
        <w:rPr>
          <w:color w:val="000000"/>
        </w:rPr>
        <w:t>La distinction structurante : les mesures de la section 3 répondent à « quelle est la performance ? », celles des sections 4 et 7 à « ce résultat est-il réel ? ». La seconde question est celle qui distingue ce projet, et c'est aussi celle qu'un backtest sur-optimisé ne pose jamais.</w:t>
      </w:r>
    </w:p>
    <w:p>
      <w:pPr>
        <w:pStyle w:val="Heading1"/>
        <w:spacing w:after="120" w:before="240"/>
      </w:pPr>
      <w:r>
        <w:rPr>
          <w:b/>
        </w:rPr>
        <w:t>2. Conventions transversales</w:t>
      </w:r>
    </w:p>
    <w:p>
      <w:pPr>
        <w:spacing w:after="160"/>
      </w:pPr>
      <w:r>
        <w:rPr>
          <w:color w:val="000000"/>
        </w:rPr>
        <w:t>Quatre règles s'appliquent à toutes les mesures de performance, sans exception. Elles sont énoncées ici une fois pour ne pas être répétées ensuite.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Cs/>
          <w:color w:val="000000"/>
        </w:rPr>
        <w:t>Rendements simples, jamais logarithmiques. La couche Gold stocke des log-rendements (additifs dans le temps), mais une somme pondérée de log-rendements N'EST PAS un rendement de portefeuille. Le moteur convertit en rendements simples (exp(r) − 1) avant toute agrégation, et metrics.py n'opère que sur ces derniers. Mélanger les deux fausse silencieusement la performance.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Cs/>
          <w:color w:val="000000"/>
        </w:rPr>
        <w:t>Hors échantillon uniquement. Le Sharpe in-sample d'un portefeuille optimisé est biaisé à la hausse par construction ; il n'est jamais rapporté.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Cs/>
          <w:color w:val="000000"/>
        </w:rPr>
        <w:t>Brut ET net, toujours côte à côte. Une stratégie qui gagne en brut et perd en net est un RÉSULTAT, pas un détail de présentation — c'est précisément le diagnostic qui a fondé la Phase 4C.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Cs/>
          <w:color w:val="000000"/>
        </w:rPr>
        <w:t>Taux sans risque à zéro, paramétré (params.yaml). Simplification MVP documentée : un taux « réaliste » poserait de toute façon la question insoluble du mélange USD/MAD.</w:t>
      </w:r>
    </w:p>
    <w:p>
      <w:pPr>
        <w:pStyle w:val="Heading1"/>
        <w:spacing w:after="120" w:before="240"/>
      </w:pPr>
      <w:r>
        <w:rPr>
          <w:b/>
        </w:rPr>
        <w:t>3. Mesures de performance — ce que le portefeuille a fait</w:t>
      </w:r>
    </w:p>
    <w:p>
      <w:pPr>
        <w:spacing w:after="160"/>
      </w:pPr>
      <w:r>
        <w:rPr>
          <w:color w:val="000000"/>
        </w:rPr>
        <w:t>Toutes implémentées dans src/metrics.py et agrégées par une fonction unique, summarize(), utilisée par le runner, le notebook et MLflow — de sorte qu'aucun recalcul ad hoc ne puisse diverger.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100"/>
        <w:gridCol w:w="4226"/>
      </w:tblGrid>
      <w:tr>
        <w:trPr>
          <w:tblHeader/>
        </w:trPr>
        <w:tc>
          <w:tcPr>
            <w:tcW w:type="dxa" w:w="1700"/>
            <w:shd w:val="clear" w:fill="DCE6F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20"/>
              </w:rPr>
              <w:t>Mesure</w:t>
            </w:r>
          </w:p>
        </w:tc>
        <w:tc>
          <w:tcPr>
            <w:tcW w:type="dxa" w:w="3100"/>
            <w:shd w:val="clear" w:fill="DCE6F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20"/>
              </w:rPr>
              <w:t>Définition</w:t>
            </w:r>
          </w:p>
        </w:tc>
        <w:tc>
          <w:tcPr>
            <w:tcW w:type="dxa" w:w="4226"/>
            <w:shd w:val="clear" w:fill="DCE6F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20"/>
              </w:rPr>
              <w:t>Pourquoi elle est présente</w:t>
            </w:r>
          </w:p>
        </w:tc>
      </w:tr>
      <w:tr>
        <w:trPr>
          <w:tblHeader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Rendement annualisé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Géométrique : (∏(1+r))^(252/n) − 1</w:t>
            </w:r>
          </w:p>
        </w:tc>
        <w:tc>
          <w:tcPr>
            <w:tcW w:type="dxa" w:w="42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Ce qu'un investisseur subit réellement ; la moyenne arithmétique surestime.</w:t>
            </w:r>
          </w:p>
        </w:tc>
      </w:tr>
      <w:tr>
        <w:trPr>
          <w:tblHeader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Ratio de Sharpe annualisé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moyenne/écart-type des rendements excédentaires × √252</w:t>
            </w:r>
          </w:p>
        </w:tc>
        <w:tc>
          <w:tcPr>
            <w:tcW w:type="dxa" w:w="42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La mesure de tête. Rapportée hors échantillon uniquement.</w:t>
            </w:r>
          </w:p>
        </w:tc>
      </w:tr>
      <w:tr>
        <w:trPr>
          <w:tblHeader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Drawdown maximal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Pire écart pic-creux de la richesse cumulée (≤ 0)</w:t>
            </w:r>
          </w:p>
        </w:tc>
        <w:tc>
          <w:tcPr>
            <w:tcW w:type="dxa" w:w="42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P3 — c'est là que la rupture de diversification se voit en argent. Compte davantage qu'une moyenne pour un gérant.</w:t>
            </w:r>
          </w:p>
        </w:tc>
      </w:tr>
      <w:tr>
        <w:trPr>
          <w:tblHeader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Ratio de Calmar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Rendement annualisé ÷ |drawdown maximal|</w:t>
            </w:r>
          </w:p>
        </w:tc>
        <w:tc>
          <w:tcPr>
            <w:tcW w:type="dxa" w:w="42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Rendement par unité de pire douleur ; alternative au Sharpe centrée robustesse.</w:t>
            </w:r>
          </w:p>
        </w:tc>
      </w:tr>
      <w:tr>
        <w:trPr>
          <w:tblHeader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Information ratio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Moyenne du rendement actif ÷ tracking error, face au 1/N</w:t>
            </w:r>
          </w:p>
        </w:tc>
        <w:tc>
          <w:tcPr>
            <w:tcW w:type="dxa" w:w="42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« La stratégie a-t-elle battu la haie honnête ? », quantifié.</w:t>
            </w:r>
          </w:p>
        </w:tc>
      </w:tr>
      <w:tr>
        <w:trPr>
          <w:tblHeader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Turnover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Σ|w_cible − w_dérivé| à chaque rééquilibrage (convention BILATÉRALE : remplacement complet = 2,0 ; entrée depuis le cash = 1,0)</w:t>
            </w:r>
          </w:p>
        </w:tc>
        <w:tc>
          <w:tcPr>
            <w:tcW w:type="dxa" w:w="42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Le moteur du coût. Mesuré contre le portefeuille RÉELLEMENT détenu après dérive des prix, non contre la cible précédente.</w:t>
            </w:r>
          </w:p>
        </w:tc>
      </w:tr>
      <w:tr>
        <w:trPr>
          <w:tblHeader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Coût total (drag)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Σ(brut − net) sur la période</w:t>
            </w:r>
          </w:p>
        </w:tc>
        <w:tc>
          <w:tcPr>
            <w:tcW w:type="dxa" w:w="42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Rend le coût visible au lieu de le noyer dans le net.</w:t>
            </w:r>
          </w:p>
        </w:tc>
      </w:tr>
    </w:tbl>
    <w:p>
      <w:pPr>
        <w:spacing w:after="160"/>
      </w:pPr>
      <w:r/>
    </w:p>
    <w:p>
      <w:pPr>
        <w:spacing w:after="160"/>
      </w:pPr>
      <w:r>
        <w:rPr>
          <w:color w:val="000000"/>
        </w:rPr>
        <w:t>Note sur le turnover, parce qu'il porte tout le raisonnement de la Phase 4C. Le coût appliqué est Σᵢ (cᵢ/10⁴)·|Δwᵢ| avec 10 pb sur les ETF et 30 pb sur les valeurs BVC (prime d'illiquidité). Exemple chiffré : un turnover moyen de 1,076 sur full_2021 — observé pour xgb_signal — signifie plus d'un remplacement complet du portefeuille par mois, soit plusieurs points de pourcentage de rendement annuel absorbés par les frais. C'est ainsi que rf_signal a pu afficher le MEILLEUR Sharpe brut de toute la comparaison (1,240) et perdre 0,178 en net : un échec de CONSTRUCTION de portefeuille, pas de prédiction.</w:t>
      </w:r>
    </w:p>
    <w:p>
      <w:pPr>
        <w:pStyle w:val="Heading1"/>
        <w:spacing w:after="120" w:before="240"/>
      </w:pPr>
      <w:r>
        <w:rPr>
          <w:b/>
        </w:rPr>
        <w:t>4. Contrôles du surapprentissage et de l'incertitude — la couche P4</w:t>
      </w:r>
    </w:p>
    <w:p>
      <w:pPr>
        <w:spacing w:after="160"/>
      </w:pPr>
      <w:r>
        <w:rPr>
          <w:color w:val="000000"/>
        </w:rPr>
        <w:t>C'est la partie qui distingue ce projet d'un backtest ordinaire. Ces trois mesures ne disent pas si la performance est bonne : elles disent si elle est CRÉDIBLE.</w:t>
      </w:r>
    </w:p>
    <w:p>
      <w:pPr>
        <w:pStyle w:val="Heading1"/>
        <w:spacing w:after="120" w:before="240"/>
      </w:pPr>
      <w:r>
        <w:rPr>
          <w:b/>
        </w:rPr>
        <w:t>4.1 Deflated Sharpe Ratio (DSR)</w:t>
      </w:r>
    </w:p>
    <w:p>
      <w:pPr>
        <w:spacing w:after="160"/>
      </w:pPr>
      <w:r>
        <w:rPr>
          <w:color w:val="000000"/>
        </w:rPr>
        <w:t>Probabilité que le Sharpe observé soit véritablement positif après correction (a) de la non-normalité des rendements — asymétrie et kurtosis — et (b) du NOMBRE de stratégies essayées. Essayer N configurations et publier la meilleure gonfle mécaniquement le Sharpe retenu, même si toutes sont sans valeur (Bailey &amp; López de Prado, 2014). C'est la défense principale du projet contre « nous avons beaucoup essayé et rapporté le meilleur ».</w:t>
      </w:r>
    </w:p>
    <w:p>
      <w:pPr>
        <w:spacing w:after="160"/>
      </w:pPr>
      <w:r>
        <w:rPr>
          <w:color w:val="000000"/>
        </w:rPr>
        <w:t>Détail d'implémentation à défendre : les Sharpe fournis au DSR sont PAR PÉRIODE (quotidiens, NON annualisés). La correction d'asymétrie/kurtosis est définie sur la série brute ; annualiser (×√252) ne serait pas seulement incohérent, ce serait faux.</w:t>
      </w:r>
    </w:p>
    <w:p>
      <w:pPr>
        <w:pStyle w:val="Heading1"/>
        <w:spacing w:after="120" w:before="240"/>
      </w:pPr>
      <w:r>
        <w:rPr>
          <w:b/>
        </w:rPr>
        <w:t>4.2 Intervalle de confiance par bootstrap par blocs</w:t>
      </w:r>
    </w:p>
    <w:p>
      <w:pPr>
        <w:spacing w:after="160"/>
      </w:pPr>
      <w:r>
        <w:rPr>
          <w:color w:val="000000"/>
        </w:rPr>
        <w:t>Intervalle à 90 % du Sharpe annualisé, obtenu par bootstrap par BLOCS CIRCULAIRES de 21 jours (~un mois de bourse). Des blocs et non un ré-échantillonnage i.i.d. parce que les rendements quotidiens sont autocorrélés (la volatilité se regroupe) : l'i.i.d. détruirait cette dépendance et SOUS-ESTIMERAIT l'intervalle. La série est traitée comme un cercle pour éviter les effets de bord, et le tirage est initialisé par une graine fixe — l'intervalle publié est reproductible.</w:t>
      </w:r>
    </w:p>
    <w:p>
      <w:pPr>
        <w:spacing w:after="160"/>
      </w:pPr>
      <w:r>
        <w:rPr>
          <w:color w:val="000000"/>
        </w:rPr>
        <w:t>C'est l'outil d'honnêteté le plus important du projet : il transforme « 1,12 contre 0,97 » en deux intervalles qui se chevauchent, et c'est lui qui autorise la conclusion « statistiquement indiscernables » au lieu d'un classement ponctuel présenté comme un fait.</w:t>
      </w:r>
    </w:p>
    <w:p>
      <w:pPr>
        <w:pStyle w:val="Heading1"/>
        <w:spacing w:after="120" w:before="240"/>
      </w:pPr>
      <w:r>
        <w:rPr>
          <w:b/>
        </w:rPr>
        <w:t>4.3 Registre des essais (DSRTrialLedger)</w:t>
      </w:r>
    </w:p>
    <w:p>
      <w:pPr>
        <w:spacing w:after="160"/>
      </w:pPr>
      <w:r>
        <w:rPr>
          <w:color w:val="000000"/>
        </w:rPr>
        <w:t>Le DSR ne déflate correctement que si N compte TOUTES les configurations évaluées par la recherche, pas seulement celles du tableau final. Le registre persiste le Sharpe par-période de chaque essai dans un fichier JSON inspectable, si bien que N reflète la largeur réelle de la recherche : 36 configurations pour la Phase 5, 198 pour le walk-forward imbriqué. Un balayage qui aurait discrètement testé 200 variantes pour n'en publier qu'une est exactement ce que le DSR existe pour pénaliser.</w:t>
      </w:r>
    </w:p>
    <w:p>
      <w:pPr>
        <w:pStyle w:val="Heading1"/>
        <w:spacing w:after="120" w:before="240"/>
      </w:pPr>
      <w:r>
        <w:rPr>
          <w:b/>
        </w:rPr>
        <w:t>5. Mesure de sélection de modèle — un objectif différent</w:t>
      </w:r>
    </w:p>
    <w:p>
      <w:pPr>
        <w:spacing w:after="160"/>
      </w:pPr>
      <w:r>
        <w:rPr>
          <w:color w:val="000000"/>
        </w:rPr>
        <w:t>Coefficient d'information (IC) : corrélation de rang de Spearman entre rendements prédits et rendements réalisés. Le choix du RANG plutôt que de Pearson est délibéré — pour un signal de trading, ce qui doit généraliser est l'ORDRE des actifs, pas l'amplitude des prédictions.</w:t>
      </w:r>
    </w:p>
    <w:p>
      <w:pPr>
        <w:spacing w:after="160"/>
      </w:pPr>
      <w:r>
        <w:rPr>
          <w:color w:val="000000"/>
        </w:rPr>
        <w:t>Point de méthode à défendre : les hyperparamètres ML sont choisis par IC via K-Fold purgé, les leviers de portefeuille (shrinkage, pénalité de turnover) par Sharpe NET sur un vrai walk-forward. Deux objectifs, deux outils : utiliser le K-Fold pour des leviers dont l'objectif est un Sharpe net serait une erreur de catégorie, les rendements de portefeuille étant dépendants et non échangeables.</w:t>
      </w:r>
    </w:p>
    <w:p>
      <w:pPr>
        <w:spacing w:after="160"/>
      </w:pPr>
      <w:r>
        <w:rPr>
          <w:color w:val="000000"/>
        </w:rPr>
        <w:t>Les IC mesurés ici valent 0,015 à 0,038 — honnêtement faibles, comme l'est habituellement la prédiction de rendements financiers. Le projet a par ailleurs établi à quatre reprises qu'un IC en hausse n'entraîne pas une performance de portefeuille en hausse.</w:t>
      </w:r>
    </w:p>
    <w:p>
      <w:pPr>
        <w:pStyle w:val="Heading1"/>
        <w:spacing w:after="120" w:before="240"/>
      </w:pPr>
      <w:r>
        <w:rPr>
          <w:b/>
        </w:rPr>
        <w:t>6. Diagnostics de la couche données</w:t>
      </w:r>
    </w:p>
    <w:p>
      <w:pPr>
        <w:spacing w:after="160"/>
      </w:pPr>
      <w:r>
        <w:rPr>
          <w:color w:val="000000"/>
        </w:rPr>
        <w:t>ADF et KPSS, toujours ensemble, jamais séparément. Les deux tests ont des hypothèses nulles OPPOSÉES : ADF teste la présence d'une racine unitaire, KPSS teste la stationnarité. Leur accord est informatif ; leur désaccord signifie AMBIGU et impose une investigation manuelle — jamais une supposition. C'est ce protocole qui a signalé EEM (ADF rejette la racine unitaire, KPSS rejette aussi la stationnarité, p ≈ 0,033) et l'a maintenu signalé jusqu'aux phases ML.</w:t>
      </w:r>
    </w:p>
    <w:p>
      <w:pPr>
        <w:pStyle w:val="Heading1"/>
        <w:spacing w:after="120" w:before="240"/>
      </w:pPr>
      <w:r>
        <w:rPr>
          <w:b/>
        </w:rPr>
        <w:t>7. Diagnostics propres aux expériences</w:t>
      </w:r>
    </w:p>
    <w:p>
      <w:pPr>
        <w:spacing w:after="160"/>
      </w:pPr>
      <w:r>
        <w:rPr>
          <w:color w:val="000000"/>
        </w:rPr>
        <w:t>Mesures ajoutées lorsqu'un Sharpe ne pouvait pas répondre à la question posée. Elles ne figurent pas dans summarize() mais dans les artefacts d'expérience.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val="clear" w:fill="DCE6F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20"/>
              </w:rPr>
              <w:t>Diagnostic</w:t>
            </w:r>
          </w:p>
        </w:tc>
        <w:tc>
          <w:tcPr>
            <w:tcW w:type="dxa" w:w="6426"/>
            <w:shd w:val="clear" w:fill="DCE6F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20"/>
              </w:rPr>
              <w:t>Ce qu'il a révélé</w:t>
            </w:r>
          </w:p>
        </w:tc>
      </w:tr>
      <w:tr>
        <w:trPr>
          <w:tblHeader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Allocations distinctes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Nombre de portefeuilles réellement différents émis sur 248 rééquilibrages. A mis au jour la dégénérescence du plafond : min_variance_lw n'en produit qu'UNE SEULE à 0,25.</w:t>
            </w:r>
          </w:p>
        </w:tc>
      </w:tr>
      <w:tr>
        <w:trPr>
          <w:tblHeader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Largeur et chevauchement des IC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Le vrai livrable du walk-forward imbriqué était −28,6 % de largeur, pas un meilleur Sharpe. Le chevauchement est rapporté à côté de chaque verdict.</w:t>
            </w:r>
          </w:p>
        </w:tc>
      </w:tr>
      <w:tr>
        <w:trPr>
          <w:tblHeader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Rééquilibrages en régime baissier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Confirme que la commutation de régime s'est effectivement déclenchée avant d'interpréter son effet.</w:t>
            </w:r>
          </w:p>
        </w:tc>
      </w:tr>
      <w:tr>
        <w:trPr>
          <w:tblHeader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NaN de tête / lignes complètes</w:t>
            </w:r>
          </w:p>
        </w:tc>
        <w:tc>
          <w:tcPr>
            <w:tcW w:type="dxa" w:w="64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Dans le manifeste des features : les fenêtres de chauffe sont RAPPORTÉES, jamais absorbées silencieusement (règle « toute perte de données silencieuse est un bug »).</w:t>
            </w:r>
          </w:p>
        </w:tc>
      </w:tr>
    </w:tbl>
    <w:p>
      <w:pPr>
        <w:pStyle w:val="Heading1"/>
        <w:spacing w:after="120" w:before="240"/>
      </w:pPr>
      <w:r>
        <w:rPr>
          <w:b/>
        </w:rPr>
        <w:t>8. Traçabilité P1–P4 et localisation dans le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1900"/>
        <w:gridCol w:w="4626"/>
      </w:tblGrid>
      <w:tr>
        <w:trPr>
          <w:tblHeader/>
        </w:trPr>
        <w:tc>
          <w:tcPr>
            <w:tcW w:type="dxa" w:w="2500"/>
            <w:shd w:val="clear" w:fill="DCE6F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20"/>
              </w:rPr>
              <w:t>Mesure</w:t>
            </w:r>
          </w:p>
        </w:tc>
        <w:tc>
          <w:tcPr>
            <w:tcW w:type="dxa" w:w="1900"/>
            <w:shd w:val="clear" w:fill="DCE6F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20"/>
              </w:rPr>
              <w:t>Problème(s)</w:t>
            </w:r>
          </w:p>
        </w:tc>
        <w:tc>
          <w:tcPr>
            <w:tcW w:type="dxa" w:w="4626"/>
            <w:shd w:val="clear" w:fill="DCE6F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20"/>
              </w:rPr>
              <w:t>Implémentation</w:t>
            </w:r>
          </w:p>
        </w:tc>
      </w:tr>
      <w:tr>
        <w:trPr>
          <w:tblHeader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Rendement annualisé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P4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metrics.py : annualized_return</w:t>
            </w:r>
          </w:p>
        </w:tc>
      </w:tr>
      <w:tr>
        <w:trPr>
          <w:tblHeader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Sharpe annualisé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P4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metrics.py : annualized_sharpe</w:t>
            </w:r>
          </w:p>
        </w:tc>
      </w:tr>
      <w:tr>
        <w:trPr>
          <w:tblHeader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Drawdown maximal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P3, P4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metrics.py : max_drawdown</w:t>
            </w:r>
          </w:p>
        </w:tc>
      </w:tr>
      <w:tr>
        <w:trPr>
          <w:tblHeader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Ratio de Calmar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P4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metrics.py : calmar_ratio</w:t>
            </w:r>
          </w:p>
        </w:tc>
      </w:tr>
      <w:tr>
        <w:trPr>
          <w:tblHeader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Information ratio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P4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metrics.py : information_ratio</w:t>
            </w:r>
          </w:p>
        </w:tc>
      </w:tr>
      <w:tr>
        <w:trPr>
          <w:tblHeader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Turnover / coûts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P1, P3 (réalisme)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backtest.py : run_backtest, build_cost_vector</w:t>
            </w:r>
          </w:p>
        </w:tc>
      </w:tr>
      <w:tr>
        <w:trPr>
          <w:tblHeader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Deflated Sharpe Ratio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P4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metrics.py : deflated_sharpe_ratio</w:t>
            </w:r>
          </w:p>
        </w:tc>
      </w:tr>
      <w:tr>
        <w:trPr>
          <w:tblHeader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IC bootstrap par blocs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P4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metrics.py : block_bootstrap_sharpe_ci</w:t>
            </w:r>
          </w:p>
        </w:tc>
      </w:tr>
      <w:tr>
        <w:trPr>
          <w:tblHeader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Registre des essais (N)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P4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metrics.py : DSRTrialLedger</w:t>
            </w:r>
          </w:p>
        </w:tc>
      </w:tr>
      <w:tr>
        <w:trPr>
          <w:tblHeader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Coefficient d'information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P4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model_selection.py : information_coefficient</w:t>
            </w:r>
          </w:p>
        </w:tc>
      </w:tr>
      <w:tr>
        <w:trPr>
          <w:tblHeader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ADF + KPSS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P2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features.py : run_stationarity_tests</w:t>
            </w:r>
          </w:p>
        </w:tc>
      </w:tr>
      <w:tr>
        <w:trPr>
          <w:tblHeader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Panneau agrégé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P4</w:t>
            </w:r>
          </w:p>
        </w:tc>
        <w:tc>
          <w:tcPr>
            <w:tcW w:type="dxa" w:w="46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  <w:bCs/>
                <w:sz w:val="17"/>
                <w:szCs w:val="20"/>
              </w:rPr>
              <w:t>metrics.py : summarize</w:t>
            </w:r>
          </w:p>
        </w:tc>
      </w:tr>
    </w:tbl>
    <w:p>
      <w:pPr>
        <w:spacing w:after="160"/>
      </w:pPr>
      <w:r/>
    </w:p>
    <w:p>
      <w:pPr>
        <w:spacing w:after="160"/>
      </w:pPr>
      <w:r>
        <w:rPr>
          <w:color w:val="000000"/>
        </w:rPr>
        <w:t>Lecture d'ensemble. Les mesures de la section 3 sont conventionnelles : elles figureraient dans n'importe quel backtest. Ce sont les sections 4 et 7 qui répondent à « est-ce réel ? » plutôt qu'à « est-ce bon ? », et ce sont elles qui permettent d'affirmer « statistiquement indiscernable » avec des preuves, au lieu de publier une estimation ponctuelle en espérant qu'elle tienne.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EURAFRIC Information — PFA INPT — Page </w:t>
    </w:r>
    <w:r>
      <w:rPr>
        <w:color w:val="80808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>Annexe — Métriques d'évaluation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Livrable Phase 5 — Évaluation Hors-Échantillon</dc:title>
  <dc:creator>Souhail Bourhim</dc:creator>
  <cp:lastModifiedBy>Un-named</cp:lastModifiedBy>
  <cp:revision>1</cp:revision>
  <dcterms:created xsi:type="dcterms:W3CDTF">2026-07-22T00:40:00.167Z</dcterms:created>
  <dcterms:modified xsi:type="dcterms:W3CDTF">2026-07-22T00:40:00.175Z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