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5A6B7D"/>
          <w:sz w:val="24"/>
          <w:szCs w:val="24"/>
        </w:rPr>
        <w:t xml:space="preserve">CAHIER DES CHARGES</w:t>
      </w:r>
    </w:p>
    <w:p>
      <w:pPr>
        <w:spacing w:after="120"/>
      </w:pPr>
      <w:r>
        <w:rPr>
          <w:b/>
          <w:bCs/>
          <w:color w:val="1F4E79"/>
          <w:sz w:val="52"/>
          <w:szCs w:val="52"/>
        </w:rPr>
        <w:t xml:space="preserve">theLook CDC Lakehouse on AWS</w:t>
      </w:r>
    </w:p>
    <w:p>
      <w:pPr>
        <w:pBdr>
          <w:bottom w:val="single" w:color="1F4E79" w:sz="12" w:space="8"/>
        </w:pBdr>
        <w:spacing w:after="600"/>
      </w:pPr>
      <w:r>
        <w:rPr>
          <w:color w:val="404040"/>
          <w:sz w:val="26"/>
          <w:szCs w:val="26"/>
        </w:rPr>
        <w:t xml:space="preserve">Real-time change data capture from an operational database to a governed, cost-controlled analytics lakehouse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sz w:val="19"/>
                <w:szCs w:val="19"/>
              </w:rPr>
              <w:t xml:space="preserve">Item</w:t>
            </w:r>
          </w:p>
        </w:tc>
        <w:tc>
          <w:tcPr>
            <w:tcW w:type="dxa" w:w="6747"/>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sz w:val="19"/>
                <w:szCs w:val="19"/>
              </w:rPr>
              <w:t xml:space="preserve">Value</w:t>
            </w:r>
          </w:p>
        </w:tc>
      </w:tr>
      <w:tr>
        <w:trPr>
          <w:cantSplit/>
        </w:trPr>
        <w:tc>
          <w:tcPr>
            <w:tcW w:type="dxa" w:w="289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Author</w:t>
            </w:r>
          </w:p>
        </w:tc>
        <w:tc>
          <w:tcPr>
            <w:tcW w:type="dxa" w:w="674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Souhail Bourhim</w:t>
            </w:r>
          </w:p>
        </w:tc>
      </w:tr>
      <w:tr>
        <w:trPr>
          <w:cantSplit/>
        </w:trPr>
        <w:tc>
          <w:tcPr>
            <w:tcW w:type="dxa" w:w="289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Programme</w:t>
            </w:r>
          </w:p>
        </w:tc>
        <w:tc>
          <w:tcPr>
            <w:tcW w:type="dxa" w:w="674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INE3, Smart-ICT, INPT Rabat</w:t>
            </w:r>
          </w:p>
        </w:tc>
      </w:tr>
      <w:tr>
        <w:trPr>
          <w:cantSplit/>
        </w:trPr>
        <w:tc>
          <w:tcPr>
            <w:tcW w:type="dxa" w:w="289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Project type</w:t>
            </w:r>
          </w:p>
        </w:tc>
        <w:tc>
          <w:tcPr>
            <w:tcW w:type="dxa" w:w="674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Personal portfolio project (data engineering)</w:t>
            </w:r>
          </w:p>
        </w:tc>
      </w:tr>
      <w:tr>
        <w:trPr>
          <w:cantSplit/>
        </w:trPr>
        <w:tc>
          <w:tcPr>
            <w:tcW w:type="dxa" w:w="289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Version</w:t>
            </w:r>
          </w:p>
        </w:tc>
        <w:tc>
          <w:tcPr>
            <w:tcW w:type="dxa" w:w="674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1.6</w:t>
            </w:r>
          </w:p>
        </w:tc>
      </w:tr>
      <w:tr>
        <w:trPr>
          <w:cantSplit/>
        </w:trPr>
        <w:tc>
          <w:tcPr>
            <w:tcW w:type="dxa" w:w="289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Date</w:t>
            </w:r>
          </w:p>
        </w:tc>
        <w:tc>
          <w:tcPr>
            <w:tcW w:type="dxa" w:w="674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29 September 2026</w:t>
            </w:r>
          </w:p>
        </w:tc>
      </w:tr>
      <w:tr>
        <w:trPr>
          <w:cantSplit/>
        </w:trPr>
        <w:tc>
          <w:tcPr>
            <w:tcW w:type="dxa" w:w="289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Status</w:t>
            </w:r>
          </w:p>
        </w:tc>
        <w:tc>
          <w:tcPr>
            <w:tcW w:type="dxa" w:w="674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Specification, not yet started</w:t>
            </w:r>
          </w:p>
        </w:tc>
      </w:tr>
    </w:tbl>
    <w:p>
      <w:pPr>
        <w:spacing w:after="120"/>
      </w:pPr>
    </w:p>
    <w:p>
      <w:pPr>
        <w:spacing w:after="120" w:before="240"/>
      </w:pPr>
      <w:r>
        <w:rPr>
          <w:b/>
          <w:bCs/>
          <w:color w:val="1F4E79"/>
          <w:sz w:val="22"/>
          <w:szCs w:val="22"/>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6746"/>
      </w:tblGrid>
      <w:tr>
        <w:trPr>
          <w:tblHeader/>
        </w:trPr>
        <w:tc>
          <w:tcPr>
            <w:tcW w:type="dxa" w:w="1157"/>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sz w:val="19"/>
                <w:szCs w:val="19"/>
              </w:rPr>
              <w:t xml:space="preserve">Version</w:t>
            </w:r>
          </w:p>
        </w:tc>
        <w:tc>
          <w:tcPr>
            <w:tcW w:type="dxa" w:w="1735"/>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sz w:val="19"/>
                <w:szCs w:val="19"/>
              </w:rPr>
              <w:t xml:space="preserve">Date</w:t>
            </w:r>
          </w:p>
        </w:tc>
        <w:tc>
          <w:tcPr>
            <w:tcW w:type="dxa" w:w="674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sz w:val="19"/>
                <w:szCs w:val="19"/>
              </w:rPr>
              <w:t xml:space="preserve">Change</w:t>
            </w:r>
          </w:p>
        </w:tc>
      </w:tr>
      <w:tr>
        <w:trPr>
          <w:cantSplit/>
        </w:trPr>
        <w:tc>
          <w:tcPr>
            <w:tcW w:type="dxa" w:w="115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1.0</w:t>
            </w:r>
          </w:p>
        </w:tc>
        <w:tc>
          <w:tcPr>
            <w:tcW w:type="dxa" w:w="1735"/>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29/09/2026</w:t>
            </w:r>
          </w:p>
        </w:tc>
        <w:tc>
          <w:tcPr>
            <w:tcW w:type="dxa" w:w="674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Initial specification, based on the Olist dataset</w:t>
            </w:r>
          </w:p>
        </w:tc>
      </w:tr>
      <w:tr>
        <w:trPr>
          <w:cantSplit/>
        </w:trPr>
        <w:tc>
          <w:tcPr>
            <w:tcW w:type="dxa" w:w="115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1.1</w:t>
            </w:r>
          </w:p>
        </w:tc>
        <w:tc>
          <w:tcPr>
            <w:tcW w:type="dxa" w:w="1735"/>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29/09/2026</w:t>
            </w:r>
          </w:p>
        </w:tc>
        <w:tc>
          <w:tcPr>
            <w:tcW w:type="dxa" w:w="674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Source switched to theLook eCommerce: live generator, realistic PII, returns, clickstream events. Added optional clickstream extension (P7).</w:t>
            </w:r>
          </w:p>
        </w:tc>
      </w:tr>
      <w:tr>
        <w:trPr>
          <w:cantSplit/>
        </w:trPr>
        <w:tc>
          <w:tcPr>
            <w:tcW w:type="dxa" w:w="115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1.2</w:t>
            </w:r>
          </w:p>
        </w:tc>
        <w:tc>
          <w:tcPr>
            <w:tcW w:type="dxa" w:w="1735"/>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29/09/2026</w:t>
            </w:r>
          </w:p>
        </w:tc>
        <w:tc>
          <w:tcPr>
            <w:tcW w:type="dxa" w:w="674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Kinesis and Firehose replaced by self-hosted Kafka (on-prem side): Kafka Connect with Debezium source, Schema Registry with Avro, Apache Iceberg sink connector to S3/Glue. Kinesis kept for P7 only.</w:t>
            </w:r>
          </w:p>
        </w:tc>
      </w:tr>
      <w:tr>
        <w:trPr>
          <w:cantSplit/>
        </w:trPr>
        <w:tc>
          <w:tcPr>
            <w:tcW w:type="dxa" w:w="115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1.3</w:t>
            </w:r>
          </w:p>
        </w:tc>
        <w:tc>
          <w:tcPr>
            <w:tcW w:type="dxa" w:w="1735"/>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29/09/2026</w:t>
            </w:r>
          </w:p>
        </w:tc>
        <w:tc>
          <w:tcPr>
            <w:tcW w:type="dxa" w:w="674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Orchestration moved from Step Functions + EventBridge to self-hosted Apache Airflow (on-prem side): dbt runs, compaction, snapshot expiry, GDPR erasure and backfills.</w:t>
            </w:r>
          </w:p>
        </w:tc>
      </w:tr>
      <w:tr>
        <w:trPr>
          <w:cantSplit/>
        </w:trPr>
        <w:tc>
          <w:tcPr>
            <w:tcW w:type="dxa" w:w="115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1.4</w:t>
            </w:r>
          </w:p>
        </w:tc>
        <w:tc>
          <w:tcPr>
            <w:tcW w:type="dxa" w:w="1735"/>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29/09/2026</w:t>
            </w:r>
          </w:p>
        </w:tc>
        <w:tc>
          <w:tcPr>
            <w:tcW w:type="dxa" w:w="674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Pre-start review based on online research: local lake dropped (dbt developed on Athena); incremental MERGE silver; replication slot safeguards; Debezium exactly-once; ODCS contracts; dbt unit tests; resilience drills; throughput objective; ADRs; version pinning; generator licence confirmed.</w:t>
            </w:r>
          </w:p>
        </w:tc>
      </w:tr>
      <w:tr>
        <w:trPr>
          <w:cantSplit/>
        </w:trPr>
        <w:tc>
          <w:tcPr>
            <w:tcW w:type="dxa" w:w="115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1.5</w:t>
            </w:r>
          </w:p>
        </w:tc>
        <w:tc>
          <w:tcPr>
            <w:tcW w:type="dxa" w:w="1735"/>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29/09/2026</w:t>
            </w:r>
          </w:p>
        </w:tc>
        <w:tc>
          <w:tcPr>
            <w:tcW w:type="dxa" w:w="674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Added section 13: working rules for Claude Code as a learning partner (decisions stay with the author), with the matching CLAUDE.md file.</w:t>
            </w:r>
          </w:p>
        </w:tc>
      </w:tr>
      <w:tr>
        <w:trPr>
          <w:cantSplit/>
        </w:trPr>
        <w:tc>
          <w:tcPr>
            <w:tcW w:type="dxa" w:w="115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1.6</w:t>
            </w:r>
          </w:p>
        </w:tc>
        <w:tc>
          <w:tcPr>
            <w:tcW w:type="dxa" w:w="1735"/>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29/09/2026</w:t>
            </w:r>
          </w:p>
        </w:tc>
        <w:tc>
          <w:tcPr>
            <w:tcW w:type="dxa" w:w="674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Section 13 revised: Claude Code may design and write everything, but must explain every decision and change so that the author understands all of it.</w:t>
            </w:r>
          </w:p>
        </w:tc>
      </w:tr>
    </w:tbl>
    <w:p>
      <w:r>
        <w:br w:type="page"/>
      </w:r>
    </w:p>
    <w:p>
      <w:pPr>
        <w:pStyle w:val="Heading1"/>
      </w:pPr>
      <w:r>
        <w:t xml:space="preserve">1. Context and problem</w:t>
      </w:r>
    </w:p>
    <w:p>
      <w:pPr>
        <w:spacing w:after="120"/>
      </w:pPr>
      <w:r>
        <w:t xml:space="preserve">theLook is a fictional online clothing retailer. Its synthetic dataset was created by Google for Looker and is published as a public BigQuery dataset. The company runs its website and operations on a PostgreSQL database, and today analytics depends on a nightly full dump of that database. This causes five problems:</w:t>
      </w:r>
    </w:p>
    <w:p>
      <w:pPr>
        <w:pStyle w:val="ListParagraph"/>
        <w:numPr>
          <w:ilvl w:val="0"/>
          <w:numId w:val="2"/>
        </w:numPr>
        <w:spacing w:after="60"/>
      </w:pPr>
      <w:r>
        <w:rPr>
          <w:b/>
          <w:bCs/>
        </w:rPr>
        <w:t xml:space="preserve">Slow, heavy loads:</w:t>
      </w:r>
      <w:r>
        <w:t xml:space="preserve"> the dump takes hours, loads the production database, and the data is up to 24 hours old.</w:t>
      </w:r>
    </w:p>
    <w:p>
      <w:pPr>
        <w:pStyle w:val="ListParagraph"/>
        <w:numPr>
          <w:ilvl w:val="0"/>
          <w:numId w:val="2"/>
        </w:numPr>
        <w:spacing w:after="60"/>
      </w:pPr>
      <w:r>
        <w:rPr>
          <w:b/>
          <w:bCs/>
        </w:rPr>
        <w:t xml:space="preserve">Inconsistent metrics:</w:t>
      </w:r>
      <w:r>
        <w:t xml:space="preserve"> finance and marketing compute "revenue" differently (with or without returns and cancellations), so dashboards disagree.</w:t>
      </w:r>
    </w:p>
    <w:p>
      <w:pPr>
        <w:pStyle w:val="ListParagraph"/>
        <w:numPr>
          <w:ilvl w:val="0"/>
          <w:numId w:val="2"/>
        </w:numPr>
        <w:spacing w:after="60"/>
      </w:pPr>
      <w:r>
        <w:rPr>
          <w:b/>
          <w:bCs/>
        </w:rPr>
        <w:t xml:space="preserve">Lost history:</w:t>
      </w:r>
      <w:r>
        <w:t xml:space="preserve"> user records are overwritten. When a user moves, past orders get attributed to the new address.</w:t>
      </w:r>
    </w:p>
    <w:p>
      <w:pPr>
        <w:pStyle w:val="ListParagraph"/>
        <w:numPr>
          <w:ilvl w:val="0"/>
          <w:numId w:val="2"/>
        </w:numPr>
        <w:spacing w:after="60"/>
      </w:pPr>
      <w:r>
        <w:rPr>
          <w:b/>
          <w:bCs/>
        </w:rPr>
        <w:t xml:space="preserve">No privacy process:</w:t>
      </w:r>
      <w:r>
        <w:t xml:space="preserve"> the database holds names, emails, street addresses and IP addresses, but there is no way to handle data-deletion requests (GDPR in Europe, Law 09-08 supervised by the CNDP in Morocco).</w:t>
      </w:r>
    </w:p>
    <w:p>
      <w:pPr>
        <w:pStyle w:val="ListParagraph"/>
        <w:numPr>
          <w:ilvl w:val="0"/>
          <w:numId w:val="2"/>
        </w:numPr>
        <w:spacing w:after="60"/>
      </w:pPr>
      <w:r>
        <w:rPr>
          <w:b/>
          <w:bCs/>
        </w:rPr>
        <w:t xml:space="preserve">Silent breakage:</w:t>
      </w:r>
      <w:r>
        <w:t xml:space="preserve"> nobody notices when an upstream schema change breaks the dashboards.</w:t>
      </w:r>
    </w:p>
    <w:p>
      <w:pPr>
        <w:spacing w:after="120"/>
      </w:pPr>
      <w:r>
        <w:rPr>
          <w:b/>
          <w:bCs/>
        </w:rPr>
        <w:t xml:space="preserve">Goal:</w:t>
      </w:r>
      <w:r>
        <w:t xml:space="preserve"> replace the nightly dump with a change data capture (CDC) pipeline into an AWS lakehouse. The pipeline must be near-real-time, trustworthy, governed and cost-controlled.</w:t>
      </w:r>
    </w:p>
    <w:p>
      <w:pPr>
        <w:pStyle w:val="Heading1"/>
      </w:pPr>
      <w:r>
        <w:t xml:space="preserve">2. Measurable objectives</w:t>
      </w:r>
    </w:p>
    <w:p>
      <w:pPr>
        <w:spacing w:after="120"/>
      </w:pPr>
      <w:r>
        <w:t xml:space="preserve">Each objective has a target that is measured at the end of the project. The measured values are reported on the results page (section 10) and become the figures used on the CV.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4819"/>
        <w:gridCol w:w="4048"/>
      </w:tblGrid>
      <w:tr>
        <w:trPr>
          <w:tblHeader/>
        </w:trPr>
        <w:tc>
          <w:tcPr>
            <w:tcW w:type="dxa" w:w="771"/>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sz w:val="19"/>
                <w:szCs w:val="19"/>
              </w:rPr>
              <w:t xml:space="preserve">#</w:t>
            </w:r>
          </w:p>
        </w:tc>
        <w:tc>
          <w:tcPr>
            <w:tcW w:type="dxa" w:w="4819"/>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sz w:val="19"/>
                <w:szCs w:val="19"/>
              </w:rPr>
              <w:t xml:space="preserve">Objective</w:t>
            </w:r>
          </w:p>
        </w:tc>
        <w:tc>
          <w:tcPr>
            <w:tcW w:type="dxa" w:w="404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sz w:val="19"/>
                <w:szCs w:val="19"/>
              </w:rPr>
              <w:t xml:space="preserve">Target</w:t>
            </w:r>
          </w:p>
        </w:tc>
      </w:tr>
      <w:tr>
        <w:trPr>
          <w:cantSplit/>
        </w:trPr>
        <w:tc>
          <w:tcPr>
            <w:tcW w:type="dxa" w:w="77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O1</w:t>
            </w:r>
          </w:p>
        </w:tc>
        <w:tc>
          <w:tcPr>
            <w:tcW w:type="dxa" w:w="4819"/>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Freshness from source commit to bronze layer</w:t>
            </w:r>
          </w:p>
        </w:tc>
        <w:tc>
          <w:tcPr>
            <w:tcW w:type="dxa" w:w="404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&lt; 5 minutes</w:t>
            </w:r>
          </w:p>
        </w:tc>
      </w:tr>
      <w:tr>
        <w:trPr>
          <w:cantSplit/>
        </w:trPr>
        <w:tc>
          <w:tcPr>
            <w:tcW w:type="dxa" w:w="77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O2</w:t>
            </w:r>
          </w:p>
        </w:tc>
        <w:tc>
          <w:tcPr>
            <w:tcW w:type="dxa" w:w="4819"/>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Freshness of analytics tables (gold layer)</w:t>
            </w:r>
          </w:p>
        </w:tc>
        <w:tc>
          <w:tcPr>
            <w:tcW w:type="dxa" w:w="404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&lt; 1 hour</w:t>
            </w:r>
          </w:p>
        </w:tc>
      </w:tr>
      <w:tr>
        <w:trPr>
          <w:cantSplit/>
        </w:trPr>
        <w:tc>
          <w:tcPr>
            <w:tcW w:type="dxa" w:w="77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O3</w:t>
            </w:r>
          </w:p>
        </w:tc>
        <w:tc>
          <w:tcPr>
            <w:tcW w:type="dxa" w:w="4819"/>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Extra load on the source database</w:t>
            </w:r>
          </w:p>
        </w:tc>
        <w:tc>
          <w:tcPr>
            <w:tcW w:type="dxa" w:w="404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Only reading the change log (WAL); no full table scans</w:t>
            </w:r>
          </w:p>
        </w:tc>
      </w:tr>
      <w:tr>
        <w:trPr>
          <w:cantSplit/>
        </w:trPr>
        <w:tc>
          <w:tcPr>
            <w:tcW w:type="dxa" w:w="77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O4</w:t>
            </w:r>
          </w:p>
        </w:tc>
        <w:tc>
          <w:tcPr>
            <w:tcW w:type="dxa" w:w="4819"/>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Data correctness</w:t>
            </w:r>
          </w:p>
        </w:tc>
        <w:tc>
          <w:tcPr>
            <w:tcW w:type="dxa" w:w="404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0 duplicates, 0 lost changes; row counts reconcile with the source</w:t>
            </w:r>
          </w:p>
        </w:tc>
      </w:tr>
      <w:tr>
        <w:trPr>
          <w:cantSplit/>
        </w:trPr>
        <w:tc>
          <w:tcPr>
            <w:tcW w:type="dxa" w:w="77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O5</w:t>
            </w:r>
          </w:p>
        </w:tc>
        <w:tc>
          <w:tcPr>
            <w:tcW w:type="dxa" w:w="4819"/>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Data-deletion request handled</w:t>
            </w:r>
          </w:p>
        </w:tc>
        <w:tc>
          <w:tcPr>
            <w:tcW w:type="dxa" w:w="404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User erased from every layer, including clickstream, in &lt; 24 hours, with an audit trail</w:t>
            </w:r>
          </w:p>
        </w:tc>
      </w:tr>
      <w:tr>
        <w:trPr>
          <w:cantSplit/>
        </w:trPr>
        <w:tc>
          <w:tcPr>
            <w:tcW w:type="dxa" w:w="77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O6</w:t>
            </w:r>
          </w:p>
        </w:tc>
        <w:tc>
          <w:tcPr>
            <w:tcW w:type="dxa" w:w="4819"/>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Monthly AWS cost</w:t>
            </w:r>
          </w:p>
        </w:tc>
        <w:tc>
          <w:tcPr>
            <w:tcW w:type="dxa" w:w="404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&lt; $15 at demo volume</w:t>
            </w:r>
          </w:p>
        </w:tc>
      </w:tr>
      <w:tr>
        <w:trPr>
          <w:cantSplit/>
        </w:trPr>
        <w:tc>
          <w:tcPr>
            <w:tcW w:type="dxa" w:w="77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O7</w:t>
            </w:r>
          </w:p>
        </w:tc>
        <w:tc>
          <w:tcPr>
            <w:tcW w:type="dxa" w:w="4819"/>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Reproducibility</w:t>
            </w:r>
          </w:p>
        </w:tc>
        <w:tc>
          <w:tcPr>
            <w:tcW w:type="dxa" w:w="404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Whole stack deployed or destroyed with one command</w:t>
            </w:r>
          </w:p>
        </w:tc>
      </w:tr>
      <w:tr>
        <w:trPr>
          <w:cantSplit/>
        </w:trPr>
        <w:tc>
          <w:tcPr>
            <w:tcW w:type="dxa" w:w="77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O8</w:t>
            </w:r>
          </w:p>
        </w:tc>
        <w:tc>
          <w:tcPr>
            <w:tcW w:type="dxa" w:w="4819"/>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Throughput</w:t>
            </w:r>
          </w:p>
        </w:tc>
        <w:tc>
          <w:tcPr>
            <w:tcW w:type="dxa" w:w="404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Sustain a target event rate (set after a baseline run in P1) with consumer lag &lt; 30 seconds; find and document the breaking point</w:t>
            </w:r>
          </w:p>
        </w:tc>
      </w:tr>
      <w:tr>
        <w:trPr>
          <w:cantSplit/>
        </w:trPr>
        <w:tc>
          <w:tcPr>
            <w:tcW w:type="dxa" w:w="77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O9</w:t>
            </w:r>
          </w:p>
        </w:tc>
        <w:tc>
          <w:tcPr>
            <w:tcW w:type="dxa" w:w="4819"/>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Resilience</w:t>
            </w:r>
          </w:p>
        </w:tc>
        <w:tc>
          <w:tcPr>
            <w:tcW w:type="dxa" w:w="404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Every failure drill in FR14 ends with 0 lost and 0 duplicated rows after reconciliation</w:t>
            </w:r>
          </w:p>
        </w:tc>
      </w:tr>
    </w:tbl>
    <w:p>
      <w:pPr>
        <w:spacing w:after="120"/>
      </w:pPr>
    </w:p>
    <w:p>
      <w:pPr>
        <w:pStyle w:val="Heading1"/>
      </w:pPr>
      <w:r>
        <w:t xml:space="preserve">3. Scope</w:t>
      </w:r>
    </w:p>
    <w:p>
      <w:pPr>
        <w:pStyle w:val="Heading2"/>
      </w:pPr>
      <w:r>
        <w:t xml:space="preserve">3.1 In scope</w:t>
      </w:r>
    </w:p>
    <w:p>
      <w:pPr>
        <w:pStyle w:val="ListParagraph"/>
        <w:numPr>
          <w:ilvl w:val="0"/>
          <w:numId w:val="2"/>
        </w:numPr>
        <w:spacing w:after="60"/>
      </w:pPr>
      <w:r>
        <w:t xml:space="preserve">CDC ingestion of the 6 source tables (section 4.1), including an initial snapshot, through Apache Kafka.</w:t>
      </w:r>
    </w:p>
    <w:p>
      <w:pPr>
        <w:pStyle w:val="ListParagraph"/>
        <w:numPr>
          <w:ilvl w:val="0"/>
          <w:numId w:val="2"/>
        </w:numPr>
        <w:spacing w:after="60"/>
      </w:pPr>
      <w:r>
        <w:t xml:space="preserve">A lakehouse organised in three layers: bronze (raw change log), silver (current state), gold (star schema).</w:t>
      </w:r>
    </w:p>
    <w:p>
      <w:pPr>
        <w:pStyle w:val="ListParagraph"/>
        <w:numPr>
          <w:ilvl w:val="0"/>
          <w:numId w:val="2"/>
        </w:numPr>
        <w:spacing w:after="60"/>
      </w:pPr>
      <w:r>
        <w:t xml:space="preserve">A user history dimension (SCD Type 2).</w:t>
      </w:r>
    </w:p>
    <w:p>
      <w:pPr>
        <w:pStyle w:val="ListParagraph"/>
        <w:numPr>
          <w:ilvl w:val="0"/>
          <w:numId w:val="2"/>
        </w:numPr>
        <w:spacing w:after="60"/>
      </w:pPr>
      <w:r>
        <w:t xml:space="preserve">Data contracts, quality checks and alerting.</w:t>
      </w:r>
    </w:p>
    <w:p>
      <w:pPr>
        <w:pStyle w:val="ListParagraph"/>
        <w:numPr>
          <w:ilvl w:val="0"/>
          <w:numId w:val="2"/>
        </w:numPr>
        <w:spacing w:after="60"/>
      </w:pPr>
      <w:r>
        <w:t xml:space="preserve">Data-deletion (GDPR) workflow and PII governance.</w:t>
      </w:r>
    </w:p>
    <w:p>
      <w:pPr>
        <w:pStyle w:val="ListParagraph"/>
        <w:numPr>
          <w:ilvl w:val="0"/>
          <w:numId w:val="2"/>
        </w:numPr>
        <w:spacing w:after="60"/>
      </w:pPr>
      <w:r>
        <w:t xml:space="preserve">Backfills and reprocessing.</w:t>
      </w:r>
    </w:p>
    <w:p>
      <w:pPr>
        <w:pStyle w:val="ListParagraph"/>
        <w:numPr>
          <w:ilvl w:val="0"/>
          <w:numId w:val="2"/>
        </w:numPr>
        <w:spacing w:after="60"/>
      </w:pPr>
      <w:r>
        <w:t xml:space="preserve">Monitoring, infrastructure as code (Terraform) and CI/CD.</w:t>
      </w:r>
    </w:p>
    <w:p>
      <w:pPr>
        <w:pStyle w:val="ListParagraph"/>
        <w:numPr>
          <w:ilvl w:val="0"/>
          <w:numId w:val="2"/>
        </w:numPr>
        <w:spacing w:after="60"/>
      </w:pPr>
      <w:r>
        <w:t xml:space="preserve">Optional extension: real-time clickstream processing on Kinesis and Managed Flink (phase P7).</w:t>
      </w:r>
    </w:p>
    <w:p>
      <w:pPr>
        <w:pStyle w:val="Heading2"/>
      </w:pPr>
      <w:r>
        <w:t xml:space="preserve">3.2 Out of scope</w:t>
      </w:r>
    </w:p>
    <w:p>
      <w:pPr>
        <w:pStyle w:val="ListParagraph"/>
        <w:numPr>
          <w:ilvl w:val="0"/>
          <w:numId w:val="2"/>
        </w:numPr>
        <w:spacing w:after="60"/>
      </w:pPr>
      <w:r>
        <w:t xml:space="preserve">Machine learning models (covered by a separate project).</w:t>
      </w:r>
    </w:p>
    <w:p>
      <w:pPr>
        <w:pStyle w:val="ListParagraph"/>
        <w:numPr>
          <w:ilvl w:val="0"/>
          <w:numId w:val="2"/>
        </w:numPr>
        <w:spacing w:after="60"/>
      </w:pPr>
      <w:r>
        <w:t xml:space="preserve">A BI tool beyond basic dashboards.</w:t>
      </w:r>
    </w:p>
    <w:p>
      <w:pPr>
        <w:pStyle w:val="ListParagraph"/>
        <w:numPr>
          <w:ilvl w:val="0"/>
          <w:numId w:val="2"/>
        </w:numPr>
        <w:spacing w:after="60"/>
      </w:pPr>
      <w:r>
        <w:t xml:space="preserve">Multi-region deployment and disaster recovery.</w:t>
      </w:r>
    </w:p>
    <w:p>
      <w:pPr>
        <w:pStyle w:val="ListParagraph"/>
        <w:numPr>
          <w:ilvl w:val="0"/>
          <w:numId w:val="2"/>
        </w:numPr>
        <w:spacing w:after="60"/>
      </w:pPr>
      <w:r>
        <w:t xml:space="preserve">A real production data source.</w:t>
      </w:r>
    </w:p>
    <w:p>
      <w:pPr>
        <w:pStyle w:val="Heading1"/>
      </w:pPr>
      <w:r>
        <w:t xml:space="preserve">4. Data sources</w:t>
      </w:r>
    </w:p>
    <w:p>
      <w:pPr>
        <w:pStyle w:val="Heading2"/>
      </w:pPr>
      <w:r>
        <w:t xml:space="preserve">4.1 theLook eCommerce schema</w:t>
      </w:r>
    </w:p>
    <w:p>
      <w:pPr>
        <w:spacing w:after="120"/>
      </w:pPr>
      <w:r>
        <w:t xml:space="preserve">The source database contains the following tables. Column lists must be checked against the generator's actual schema at the start of P1, then frozen in the data contracts.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5301"/>
        <w:gridCol w:w="2409"/>
      </w:tblGrid>
      <w:tr>
        <w:trPr>
          <w:tblHeader/>
        </w:trPr>
        <w:tc>
          <w:tcPr>
            <w:tcW w:type="dxa" w:w="192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sz w:val="19"/>
                <w:szCs w:val="19"/>
              </w:rPr>
              <w:t xml:space="preserve">Table</w:t>
            </w:r>
          </w:p>
        </w:tc>
        <w:tc>
          <w:tcPr>
            <w:tcW w:type="dxa" w:w="5301"/>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sz w:val="19"/>
                <w:szCs w:val="19"/>
              </w:rPr>
              <w:t xml:space="preserve">Content</w:t>
            </w:r>
          </w:p>
        </w:tc>
        <w:tc>
          <w:tcPr>
            <w:tcW w:type="dxa" w:w="2409"/>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sz w:val="19"/>
                <w:szCs w:val="19"/>
              </w:rPr>
              <w:t xml:space="preserve">Change pattern</w:t>
            </w:r>
          </w:p>
        </w:tc>
      </w:tr>
      <w:tr>
        <w:trPr>
          <w:cantSplit/>
        </w:trPr>
        <w:tc>
          <w:tcPr>
            <w:tcW w:type="dxa" w:w="192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users</w:t>
            </w:r>
          </w:p>
        </w:tc>
        <w:tc>
          <w:tcPr>
            <w:tcW w:type="dxa" w:w="530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Name, email, age, gender, street address, city, state, country, postal code, latitude/longitude, traffic source</w:t>
            </w:r>
          </w:p>
        </w:tc>
        <w:tc>
          <w:tcPr>
            <w:tcW w:type="dxa" w:w="2409"/>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Inserts (sign-ups); rare updates</w:t>
            </w:r>
          </w:p>
        </w:tc>
      </w:tr>
      <w:tr>
        <w:trPr>
          <w:cantSplit/>
        </w:trPr>
        <w:tc>
          <w:tcPr>
            <w:tcW w:type="dxa" w:w="192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products</w:t>
            </w:r>
          </w:p>
        </w:tc>
        <w:tc>
          <w:tcPr>
            <w:tcW w:type="dxa" w:w="530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Name, brand, category, department, cost, retail price, distribution center</w:t>
            </w:r>
          </w:p>
        </w:tc>
        <w:tc>
          <w:tcPr>
            <w:tcW w:type="dxa" w:w="2409"/>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Mostly static</w:t>
            </w:r>
          </w:p>
        </w:tc>
      </w:tr>
      <w:tr>
        <w:trPr>
          <w:cantSplit/>
        </w:trPr>
        <w:tc>
          <w:tcPr>
            <w:tcW w:type="dxa" w:w="192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distribution_centers</w:t>
            </w:r>
          </w:p>
        </w:tc>
        <w:tc>
          <w:tcPr>
            <w:tcW w:type="dxa" w:w="530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Name, latitude/longitude</w:t>
            </w:r>
          </w:p>
        </w:tc>
        <w:tc>
          <w:tcPr>
            <w:tcW w:type="dxa" w:w="2409"/>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Static</w:t>
            </w:r>
          </w:p>
        </w:tc>
      </w:tr>
      <w:tr>
        <w:trPr>
          <w:cantSplit/>
        </w:trPr>
        <w:tc>
          <w:tcPr>
            <w:tcW w:type="dxa" w:w="192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orders</w:t>
            </w:r>
          </w:p>
        </w:tc>
        <w:tc>
          <w:tcPr>
            <w:tcW w:type="dxa" w:w="530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User, status (Processing, Shipped, Complete, Cancelled, Returned), created/shipped/delivered/returned timestamps</w:t>
            </w:r>
          </w:p>
        </w:tc>
        <w:tc>
          <w:tcPr>
            <w:tcW w:type="dxa" w:w="2409"/>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Frequent updates as status changes</w:t>
            </w:r>
          </w:p>
        </w:tc>
      </w:tr>
      <w:tr>
        <w:trPr>
          <w:cantSplit/>
        </w:trPr>
        <w:tc>
          <w:tcPr>
            <w:tcW w:type="dxa" w:w="192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order_items</w:t>
            </w:r>
          </w:p>
        </w:tc>
        <w:tc>
          <w:tcPr>
            <w:tcW w:type="dxa" w:w="530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Order, product, item status, sale price, lifecycle timestamps</w:t>
            </w:r>
          </w:p>
        </w:tc>
        <w:tc>
          <w:tcPr>
            <w:tcW w:type="dxa" w:w="2409"/>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Frequent updates</w:t>
            </w:r>
          </w:p>
        </w:tc>
      </w:tr>
      <w:tr>
        <w:trPr>
          <w:cantSplit/>
        </w:trPr>
        <w:tc>
          <w:tcPr>
            <w:tcW w:type="dxa" w:w="192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events</w:t>
            </w:r>
          </w:p>
        </w:tc>
        <w:tc>
          <w:tcPr>
            <w:tcW w:type="dxa" w:w="530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Session, sequence number, event type (home, department, product, cart, purchase, cancel), URI, browser, IP address, traffic source</w:t>
            </w:r>
          </w:p>
        </w:tc>
        <w:tc>
          <w:tcPr>
            <w:tcW w:type="dxa" w:w="2409"/>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Append-only, high volume</w:t>
            </w:r>
          </w:p>
        </w:tc>
      </w:tr>
    </w:tbl>
    <w:p>
      <w:pPr>
        <w:spacing w:after="120"/>
      </w:pPr>
    </w:p>
    <w:p>
      <w:pPr>
        <w:spacing w:after="120"/>
      </w:pPr>
      <w:r>
        <w:t xml:space="preserve">This mix is deliberate: static reference data, frequently updated transactional data and a high-volume append-only log each need a different handling strategy (see section 8).</w:t>
      </w:r>
    </w:p>
    <w:p>
      <w:pPr>
        <w:pStyle w:val="Heading2"/>
      </w:pPr>
      <w:r>
        <w:t xml:space="preserve">4.2 Live data generator</w:t>
      </w:r>
    </w:p>
    <w:p>
      <w:pPr>
        <w:spacing w:after="120"/>
      </w:pPr>
      <w:r>
        <w:t xml:space="preserve">Factor House publishes an open-source Python generator that writes live theLook traffic into PostgreSQL: new sign-ups, browsing sessions, purchases, cancellations and returns. It produces genuine INSERT, UPDATE and DELETE statements, which is exactly what a CDC pipeline needs.</w:t>
      </w:r>
    </w:p>
    <w:p>
      <w:pPr>
        <w:pStyle w:val="ListParagraph"/>
        <w:numPr>
          <w:ilvl w:val="0"/>
          <w:numId w:val="2"/>
        </w:numPr>
        <w:spacing w:after="60"/>
      </w:pPr>
      <w:r>
        <w:t xml:space="preserve">Only the generator is reused. The surrounding Factor House demo uses their commercial monitoring tools (Kpow, Flex), which are not part of this project.</w:t>
      </w:r>
    </w:p>
    <w:p>
      <w:pPr>
        <w:pStyle w:val="ListParagraph"/>
        <w:numPr>
          <w:ilvl w:val="0"/>
          <w:numId w:val="2"/>
        </w:numPr>
        <w:spacing w:after="60"/>
      </w:pPr>
      <w:r>
        <w:t xml:space="preserve">The Factor House examples repository is published under the </w:t>
      </w:r>
      <w:r>
        <w:rPr>
          <w:b/>
          <w:bCs/>
        </w:rPr>
        <w:t xml:space="preserve">Apache License 2.0</w:t>
      </w:r>
      <w:r>
        <w:t xml:space="preserve">, which allows reuse with attribution. Check that the generator folder does not carry a different licence, and keep the notice in the repository.</w:t>
      </w:r>
    </w:p>
    <w:p>
      <w:pPr>
        <w:pStyle w:val="ListParagraph"/>
        <w:numPr>
          <w:ilvl w:val="0"/>
          <w:numId w:val="2"/>
        </w:numPr>
        <w:spacing w:after="60"/>
      </w:pPr>
      <w:r>
        <w:t xml:space="preserve">The generator runs as a container next to PostgreSQL, with a configurable event rate.</w:t>
      </w:r>
    </w:p>
    <w:p>
      <w:pPr>
        <w:pStyle w:val="Heading2"/>
      </w:pPr>
      <w:r>
        <w:t xml:space="preserve">4.3 Synthetic additions</w:t>
      </w:r>
    </w:p>
    <w:p>
      <w:pPr>
        <w:spacing w:after="120"/>
      </w:pPr>
      <w:r>
        <w:t xml:space="preserve">Some behaviours may not be produced by the generator. They are added by small scripts and clearly labelled as synthetic in the documentation.</w:t>
      </w:r>
    </w:p>
    <w:p>
      <w:pPr>
        <w:pStyle w:val="ListParagraph"/>
        <w:numPr>
          <w:ilvl w:val="0"/>
          <w:numId w:val="2"/>
        </w:numPr>
        <w:spacing w:after="60"/>
      </w:pPr>
      <w:r>
        <w:t xml:space="preserve">User address changes, to exercise the SCD2 dimension (only if the generator does not already update addresses).</w:t>
      </w:r>
    </w:p>
    <w:p>
      <w:pPr>
        <w:pStyle w:val="ListParagraph"/>
        <w:numPr>
          <w:ilvl w:val="0"/>
          <w:numId w:val="2"/>
        </w:numPr>
        <w:spacing w:after="60"/>
      </w:pPr>
      <w:r>
        <w:t xml:space="preserve">Data-deletion requests.</w:t>
      </w:r>
    </w:p>
    <w:p>
      <w:pPr>
        <w:pStyle w:val="ListParagraph"/>
        <w:numPr>
          <w:ilvl w:val="0"/>
          <w:numId w:val="2"/>
        </w:numPr>
        <w:spacing w:after="60"/>
      </w:pPr>
      <w:r>
        <w:t xml:space="preserve">Injected schema changes and malformed records, to exercise the data contracts.</w:t>
      </w:r>
    </w:p>
    <w:p>
      <w:pPr>
        <w:pStyle w:val="Heading1"/>
      </w:pPr>
      <w:r>
        <w:t xml:space="preserve">5. Target architecture</w:t>
      </w:r>
    </w:p>
    <w:p>
      <w:pPr>
        <w:pStyle w:val="Heading2"/>
      </w:pPr>
      <w:r>
        <w:t xml:space="preserve">5.1 Data flow</w:t>
      </w:r>
    </w:p>
    <w:p>
      <w:pPr>
        <w:shd w:fill="F2F4F7" w:color="auto" w:val="clear"/>
        <w:spacing w:after="0" w:before="80"/>
        <w:ind w:left="120" w:right="120"/>
      </w:pPr>
      <w:r>
        <w:rPr>
          <w:rFonts w:ascii="Consolas" w:cs="Consolas" w:eastAsia="Consolas" w:hAnsi="Consolas"/>
          <w:sz w:val="17"/>
          <w:szCs w:val="17"/>
        </w:rPr>
        <w:t xml:space="preserve">--- On-prem side (Docker) ---</w:t>
      </w:r>
    </w:p>
    <w:p>
      <w:pPr>
        <w:shd w:fill="F2F4F7" w:color="auto" w:val="clear"/>
        <w:spacing w:after="0" w:before="0"/>
        <w:ind w:left="120" w:right="120"/>
      </w:pPr>
      <w:r>
        <w:rPr>
          <w:rFonts w:ascii="Consolas" w:cs="Consolas" w:eastAsia="Consolas" w:hAnsi="Consolas"/>
          <w:sz w:val="17"/>
          <w:szCs w:val="17"/>
        </w:rPr>
        <w:t xml:space="preserve">theLook generator --&gt; Postgres</w:t>
      </w:r>
    </w:p>
    <w:p>
      <w:pPr>
        <w:shd w:fill="F2F4F7" w:color="auto" w:val="clear"/>
        <w:spacing w:after="0" w:before="0"/>
        <w:ind w:left="120" w:right="120"/>
      </w:pPr>
      <w:r>
        <w:rPr>
          <w:rFonts w:ascii="Consolas" w:cs="Consolas" w:eastAsia="Consolas" w:hAnsi="Consolas"/>
          <w:sz w:val="17"/>
          <w:szCs w:val="17"/>
        </w:rPr>
        <w:t xml:space="preserve">   --WAL--&gt; Kafka Connect [Debezium source] --&gt; Kafka (KRaft) + Schema Registry (Avro)</w:t>
      </w:r>
    </w:p>
    <w:p>
      <w:pPr>
        <w:shd w:fill="F2F4F7" w:color="auto" w:val="clear"/>
        <w:spacing w:after="0" w:before="0"/>
        <w:ind w:left="120" w:right="120"/>
      </w:pPr>
      <w:r>
        <w:rPr>
          <w:rFonts w:ascii="Consolas" w:cs="Consolas" w:eastAsia="Consolas" w:hAnsi="Consolas"/>
          <w:sz w:val="17"/>
          <w:szCs w:val="17"/>
        </w:rPr>
        <w:t xml:space="preserve">   --&gt; Kafka Connect [Apache Iceberg sink]</w:t>
      </w:r>
    </w:p>
    <w:p>
      <w:pPr>
        <w:shd w:fill="F2F4F7" w:color="auto" w:val="clear"/>
        <w:spacing w:after="0" w:before="0"/>
        <w:ind w:left="120" w:right="120"/>
      </w:pPr>
      <w:r>
        <w:rPr>
          <w:rFonts w:ascii="Consolas" w:cs="Consolas" w:eastAsia="Consolas" w:hAnsi="Consolas"/>
          <w:sz w:val="17"/>
          <w:szCs w:val="17"/>
        </w:rPr>
        <w:t xml:space="preserve">--- AWS side ---</w:t>
      </w:r>
    </w:p>
    <w:p>
      <w:pPr>
        <w:shd w:fill="F2F4F7" w:color="auto" w:val="clear"/>
        <w:spacing w:after="0" w:before="0"/>
        <w:ind w:left="120" w:right="120"/>
      </w:pPr>
      <w:r>
        <w:rPr>
          <w:rFonts w:ascii="Consolas" w:cs="Consolas" w:eastAsia="Consolas" w:hAnsi="Consolas"/>
          <w:sz w:val="17"/>
          <w:szCs w:val="17"/>
        </w:rPr>
        <w:t xml:space="preserve">   --&gt; Iceberg bronze tables (S3 + Glue Catalog, one table per source table)</w:t>
      </w:r>
    </w:p>
    <w:p>
      <w:pPr>
        <w:shd w:fill="F2F4F7" w:color="auto" w:val="clear"/>
        <w:spacing w:after="0" w:before="0"/>
        <w:ind w:left="120" w:right="120"/>
      </w:pPr>
      <w:r>
        <w:rPr>
          <w:rFonts w:ascii="Consolas" w:cs="Consolas" w:eastAsia="Consolas" w:hAnsi="Consolas"/>
          <w:sz w:val="17"/>
          <w:szCs w:val="17"/>
        </w:rPr>
        <w:t xml:space="preserve">   --&gt; dbt on Athena --&gt; silver (current state) --&gt; gold (star schema)</w:t>
      </w:r>
    </w:p>
    <w:p>
      <w:pPr>
        <w:shd w:fill="F2F4F7" w:color="auto" w:val="clear"/>
        <w:spacing w:after="0" w:before="0"/>
        <w:ind w:left="120" w:right="120"/>
      </w:pPr>
      <w:r>
        <w:rPr>
          <w:rFonts w:ascii="Consolas" w:cs="Consolas" w:eastAsia="Consolas" w:hAnsi="Consolas"/>
          <w:sz w:val="17"/>
          <w:szCs w:val="17"/>
        </w:rPr>
        <w:t xml:space="preserve">   --&gt; dashboards (QuickSight or Grafana)</w:t>
      </w:r>
    </w:p>
    <w:p>
      <w:pPr>
        <w:shd w:fill="F2F4F7" w:color="auto" w:val="clear"/>
        <w:spacing w:after="0" w:before="0"/>
        <w:ind w:left="120" w:right="120"/>
      </w:pPr>
      <w:r>
        <w:rPr>
          <w:rFonts w:ascii="Consolas" w:cs="Consolas" w:eastAsia="Consolas" w:hAnsi="Consolas"/>
          <w:sz w:val="17"/>
          <w:szCs w:val="17"/>
        </w:rPr>
        <w:t xml:space="preserve"/>
      </w:r>
    </w:p>
    <w:p>
      <w:pPr>
        <w:shd w:fill="F2F4F7" w:color="auto" w:val="clear"/>
        <w:spacing w:after="0" w:before="0"/>
        <w:ind w:left="120" w:right="120"/>
      </w:pPr>
      <w:r>
        <w:rPr>
          <w:rFonts w:ascii="Consolas" w:cs="Consolas" w:eastAsia="Consolas" w:hAnsi="Consolas"/>
          <w:sz w:val="17"/>
          <w:szCs w:val="17"/>
        </w:rPr>
        <w:t xml:space="preserve">Orchestration : Apache Airflow (self-hosted, Docker, on-prem side)</w:t>
      </w:r>
    </w:p>
    <w:p>
      <w:pPr>
        <w:shd w:fill="F2F4F7" w:color="auto" w:val="clear"/>
        <w:spacing w:after="0" w:before="0"/>
        <w:ind w:left="120" w:right="120"/>
      </w:pPr>
      <w:r>
        <w:rPr>
          <w:rFonts w:ascii="Consolas" w:cs="Consolas" w:eastAsia="Consolas" w:hAnsi="Consolas"/>
          <w:sz w:val="17"/>
          <w:szCs w:val="17"/>
        </w:rPr>
        <w:t xml:space="preserve">Monitoring    : CloudWatch metrics and alarms</w:t>
      </w:r>
    </w:p>
    <w:p>
      <w:pPr>
        <w:shd w:fill="F2F4F7" w:color="auto" w:val="clear"/>
        <w:spacing w:after="0" w:before="0"/>
        <w:ind w:left="120" w:right="120"/>
      </w:pPr>
      <w:r>
        <w:rPr>
          <w:rFonts w:ascii="Consolas" w:cs="Consolas" w:eastAsia="Consolas" w:hAnsi="Consolas"/>
          <w:sz w:val="17"/>
          <w:szCs w:val="17"/>
        </w:rPr>
        <w:t xml:space="preserve">IaC / CI      : Terraform, GitHub Actions (OIDC to AWS)</w:t>
      </w:r>
    </w:p>
    <w:p>
      <w:pPr>
        <w:shd w:fill="F2F4F7" w:color="auto" w:val="clear"/>
        <w:spacing w:after="160" w:before="0"/>
        <w:ind w:left="120" w:right="120"/>
      </w:pPr>
      <w:r>
        <w:rPr>
          <w:rFonts w:ascii="Consolas" w:cs="Consolas" w:eastAsia="Consolas" w:hAnsi="Consolas"/>
          <w:sz w:val="17"/>
          <w:szCs w:val="17"/>
        </w:rPr>
        <w:t xml:space="preserve">Development   : on-prem stack in Docker; dbt developed directly on Athena in a dev schema (cost: cents)</w:t>
      </w:r>
    </w:p>
    <w:p>
      <w:pPr>
        <w:spacing w:after="120"/>
      </w:pPr>
      <w:r>
        <w:t xml:space="preserve">The source database and Kafka run locally to represent a company that keeps its operational systems and event platform in its own data centre and lands data in a cloud lakehouse. This hybrid set-up is a common real-world pattern, and it avoids paying for a managed database or a managed Kafka cluster.</w:t>
      </w:r>
    </w:p>
    <w:p>
      <w:pPr>
        <w:spacing w:after="120"/>
      </w:pPr>
      <w:r>
        <w:t xml:space="preserve">There is deliberately </w:t>
      </w:r>
      <w:r>
        <w:rPr>
          <w:b/>
          <w:bCs/>
        </w:rPr>
        <w:t xml:space="preserve">no local copy of the lake</w:t>
      </w:r>
      <w:r>
        <w:t xml:space="preserve">. Maintaining two lakehouses (for example MinIO with DuckDB locally and Glue with Athena on AWS) would mean two dbt adapters, SQL dialect differences and bugs that only appear on one side. dbt is developed directly on Athena in a separate dev schema, which costs cents at this volume.</w:t>
      </w:r>
    </w:p>
    <w:p>
      <w:pPr>
        <w:pStyle w:val="Heading2"/>
      </w:pPr>
      <w:r>
        <w:t xml:space="preserve">5.2 Technology choices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928"/>
        <w:gridCol w:w="3470"/>
        <w:gridCol w:w="2698"/>
      </w:tblGrid>
      <w:tr>
        <w:trPr>
          <w:tblHeader/>
        </w:trPr>
        <w:tc>
          <w:tcPr>
            <w:tcW w:type="dxa" w:w="1542"/>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sz w:val="19"/>
                <w:szCs w:val="19"/>
              </w:rPr>
              <w:t xml:space="preserve">Component</w:t>
            </w:r>
          </w:p>
        </w:tc>
        <w:tc>
          <w:tcPr>
            <w:tcW w:type="dxa" w:w="192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sz w:val="19"/>
                <w:szCs w:val="19"/>
              </w:rPr>
              <w:t xml:space="preserve">Choice</w:t>
            </w:r>
          </w:p>
        </w:tc>
        <w:tc>
          <w:tcPr>
            <w:tcW w:type="dxa" w:w="3470"/>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sz w:val="19"/>
                <w:szCs w:val="19"/>
              </w:rPr>
              <w:t xml:space="preserve">Justification</w:t>
            </w:r>
          </w:p>
        </w:tc>
        <w:tc>
          <w:tcPr>
            <w:tcW w:type="dxa" w:w="269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sz w:val="19"/>
                <w:szCs w:val="19"/>
              </w:rPr>
              <w:t xml:space="preserve">Rejected alternative</w:t>
            </w:r>
          </w:p>
        </w:tc>
      </w:tr>
      <w:tr>
        <w:trPr>
          <w:cantSplit/>
        </w:trPr>
        <w:tc>
          <w:tcPr>
            <w:tcW w:type="dxa" w:w="1542"/>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Event platform</w:t>
            </w:r>
          </w:p>
        </w:tc>
        <w:tc>
          <w:tcPr>
            <w:tcW w:type="dxa" w:w="192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Apache Kafka (KRaft), self-hosted</w:t>
            </w:r>
          </w:p>
        </w:tc>
        <w:tc>
          <w:tcPr>
            <w:tcW w:type="dxa" w:w="347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Industry-standard event platform, widely requested by employers; $0 when run locally</w:t>
            </w:r>
          </w:p>
        </w:tc>
        <w:tc>
          <w:tcPr>
            <w:tcW w:type="dxa" w:w="269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MSK Serverless: about $0.75/hour (~$540/month); Kinesis: AWS-only, less common in industry</w:t>
            </w:r>
          </w:p>
        </w:tc>
      </w:tr>
      <w:tr>
        <w:trPr>
          <w:cantSplit/>
        </w:trPr>
        <w:tc>
          <w:tcPr>
            <w:tcW w:type="dxa" w:w="1542"/>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CDC</w:t>
            </w:r>
          </w:p>
        </w:tc>
        <w:tc>
          <w:tcPr>
            <w:tcW w:type="dxa" w:w="192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Debezium on Kafka Connect</w:t>
            </w:r>
          </w:p>
        </w:tc>
        <w:tc>
          <w:tcPr>
            <w:tcW w:type="dxa" w:w="347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The standard production deployment of Debezium; offsets and restarts managed by Connect</w:t>
            </w:r>
          </w:p>
        </w:tc>
        <w:tc>
          <w:tcPr>
            <w:tcW w:type="dxa" w:w="269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Debezium Server: simpler, but less representative of production</w:t>
            </w:r>
          </w:p>
        </w:tc>
      </w:tr>
      <w:tr>
        <w:trPr>
          <w:cantSplit/>
        </w:trPr>
        <w:tc>
          <w:tcPr>
            <w:tcW w:type="dxa" w:w="1542"/>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Schemas</w:t>
            </w:r>
          </w:p>
        </w:tc>
        <w:tc>
          <w:tcPr>
            <w:tcW w:type="dxa" w:w="192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Schema Registry + Avro</w:t>
            </w:r>
          </w:p>
        </w:tc>
        <w:tc>
          <w:tcPr>
            <w:tcW w:type="dxa" w:w="347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Schemas enforced when data is written; compatibility rules block breaking changes</w:t>
            </w:r>
          </w:p>
        </w:tc>
        <w:tc>
          <w:tcPr>
            <w:tcW w:type="dxa" w:w="269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Schemaless JSON: breakage only detected downstream</w:t>
            </w:r>
          </w:p>
        </w:tc>
      </w:tr>
      <w:tr>
        <w:trPr>
          <w:cantSplit/>
        </w:trPr>
        <w:tc>
          <w:tcPr>
            <w:tcW w:type="dxa" w:w="1542"/>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Delivery to lake</w:t>
            </w:r>
          </w:p>
        </w:tc>
        <w:tc>
          <w:tcPr>
            <w:tcW w:type="dxa" w:w="192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Apache Iceberg sink connector</w:t>
            </w:r>
          </w:p>
        </w:tc>
        <w:tc>
          <w:tcPr>
            <w:tcW w:type="dxa" w:w="347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Official Iceberg connector; exactly-once delivery; routes records to tables; writes to S3 through the Glue catalog</w:t>
            </w:r>
          </w:p>
        </w:tc>
        <w:tc>
          <w:tcPr>
            <w:tcW w:type="dxa" w:w="269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Firehose: requires Kinesis; custom consumer: more code to maintain</w:t>
            </w:r>
          </w:p>
        </w:tc>
      </w:tr>
      <w:tr>
        <w:trPr>
          <w:cantSplit/>
        </w:trPr>
        <w:tc>
          <w:tcPr>
            <w:tcW w:type="dxa" w:w="1542"/>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Storage</w:t>
            </w:r>
          </w:p>
        </w:tc>
        <w:tc>
          <w:tcPr>
            <w:tcW w:type="dxa" w:w="192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Apache Iceberg on S3</w:t>
            </w:r>
          </w:p>
        </w:tc>
        <w:tc>
          <w:tcPr>
            <w:tcW w:type="dxa" w:w="347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ACID tables, row-level deletes (needed for GDPR), time travel</w:t>
            </w:r>
          </w:p>
        </w:tc>
        <w:tc>
          <w:tcPr>
            <w:tcW w:type="dxa" w:w="269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Plain Parquet: no deletes or ACID guarantees</w:t>
            </w:r>
          </w:p>
        </w:tc>
      </w:tr>
      <w:tr>
        <w:trPr>
          <w:cantSplit/>
        </w:trPr>
        <w:tc>
          <w:tcPr>
            <w:tcW w:type="dxa" w:w="1542"/>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Query</w:t>
            </w:r>
          </w:p>
        </w:tc>
        <w:tc>
          <w:tcPr>
            <w:tcW w:type="dxa" w:w="192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Athena</w:t>
            </w:r>
          </w:p>
        </w:tc>
        <w:tc>
          <w:tcPr>
            <w:tcW w:type="dxa" w:w="347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Serverless, pay per query</w:t>
            </w:r>
          </w:p>
        </w:tc>
        <w:tc>
          <w:tcPr>
            <w:tcW w:type="dxa" w:w="269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Redshift: fixed monthly cost</w:t>
            </w:r>
          </w:p>
        </w:tc>
      </w:tr>
      <w:tr>
        <w:trPr>
          <w:cantSplit/>
        </w:trPr>
        <w:tc>
          <w:tcPr>
            <w:tcW w:type="dxa" w:w="1542"/>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Transformation</w:t>
            </w:r>
          </w:p>
        </w:tc>
        <w:tc>
          <w:tcPr>
            <w:tcW w:type="dxa" w:w="192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dbt (dbt-athena)</w:t>
            </w:r>
          </w:p>
        </w:tc>
        <w:tc>
          <w:tcPr>
            <w:tcW w:type="dxa" w:w="347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Tests, documentation and lineage built in; industry standard</w:t>
            </w:r>
          </w:p>
        </w:tc>
        <w:tc>
          <w:tcPr>
            <w:tcW w:type="dxa" w:w="269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Hand-written SQL scripts</w:t>
            </w:r>
          </w:p>
        </w:tc>
      </w:tr>
      <w:tr>
        <w:trPr>
          <w:cantSplit/>
        </w:trPr>
        <w:tc>
          <w:tcPr>
            <w:tcW w:type="dxa" w:w="1542"/>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Orchestration</w:t>
            </w:r>
          </w:p>
        </w:tc>
        <w:tc>
          <w:tcPr>
            <w:tcW w:type="dxa" w:w="192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Apache Airflow, self-hosted</w:t>
            </w:r>
          </w:p>
        </w:tc>
        <w:tc>
          <w:tcPr>
            <w:tcW w:type="dxa" w:w="347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Industry standard; native backfills over date ranges; $0 when run locally next to Kafka</w:t>
            </w:r>
          </w:p>
        </w:tc>
        <w:tc>
          <w:tcPr>
            <w:tcW w:type="dxa" w:w="269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MWAA (managed Airflow): hundreds of dollars/month idle; Step Functions: AWS-only, weak backfill support</w:t>
            </w:r>
          </w:p>
        </w:tc>
      </w:tr>
    </w:tbl>
    <w:p>
      <w:pPr>
        <w:spacing w:after="120"/>
      </w:pPr>
    </w:p>
    <w:p>
      <w:pPr>
        <w:pStyle w:val="Heading2"/>
      </w:pPr>
      <w:r>
        <w:t xml:space="preserve">5.3 Version pinning</w:t>
      </w:r>
    </w:p>
    <w:p>
      <w:pPr>
        <w:spacing w:after="120"/>
      </w:pPr>
      <w:r>
        <w:t xml:space="preserve">Versions current at the time of writing. All images and packages are pinned in the repository; upgrades are deliberate and documented.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891"/>
        <w:gridCol w:w="4627"/>
      </w:tblGrid>
      <w:tr>
        <w:trPr>
          <w:tblHeader/>
        </w:trPr>
        <w:tc>
          <w:tcPr>
            <w:tcW w:type="dxa" w:w="2120"/>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sz w:val="19"/>
                <w:szCs w:val="19"/>
              </w:rPr>
              <w:t xml:space="preserve">Component</w:t>
            </w:r>
          </w:p>
        </w:tc>
        <w:tc>
          <w:tcPr>
            <w:tcW w:type="dxa" w:w="2891"/>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sz w:val="19"/>
                <w:szCs w:val="19"/>
              </w:rPr>
              <w:t xml:space="preserve">Version line</w:t>
            </w:r>
          </w:p>
        </w:tc>
        <w:tc>
          <w:tcPr>
            <w:tcW w:type="dxa" w:w="4627"/>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sz w:val="19"/>
                <w:szCs w:val="19"/>
              </w:rPr>
              <w:t xml:space="preserve">Notes</w:t>
            </w:r>
          </w:p>
        </w:tc>
      </w:tr>
      <w:tr>
        <w:trPr>
          <w:cantSplit/>
        </w:trPr>
        <w:tc>
          <w:tcPr>
            <w:tcW w:type="dxa" w:w="212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Apache Kafka</w:t>
            </w:r>
          </w:p>
        </w:tc>
        <w:tc>
          <w:tcPr>
            <w:tcW w:type="dxa" w:w="289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4.x (4.3 released May 2026)</w:t>
            </w:r>
          </w:p>
        </w:tc>
        <w:tc>
          <w:tcPr>
            <w:tcW w:type="dxa" w:w="462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KRaft only since 4.0 (no ZooKeeper); single broker locally</w:t>
            </w:r>
          </w:p>
        </w:tc>
      </w:tr>
      <w:tr>
        <w:trPr>
          <w:cantSplit/>
        </w:trPr>
        <w:tc>
          <w:tcPr>
            <w:tcW w:type="dxa" w:w="212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Debezium</w:t>
            </w:r>
          </w:p>
        </w:tc>
        <w:tc>
          <w:tcPr>
            <w:tcW w:type="dxa" w:w="289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3.x (documentation at 3.6)</w:t>
            </w:r>
          </w:p>
        </w:tc>
        <w:tc>
          <w:tcPr>
            <w:tcW w:type="dxa" w:w="462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PostgreSQL connector with pgoutput</w:t>
            </w:r>
          </w:p>
        </w:tc>
      </w:tr>
      <w:tr>
        <w:trPr>
          <w:cantSplit/>
        </w:trPr>
        <w:tc>
          <w:tcPr>
            <w:tcW w:type="dxa" w:w="212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PostgreSQL</w:t>
            </w:r>
          </w:p>
        </w:tc>
        <w:tc>
          <w:tcPr>
            <w:tcW w:type="dxa" w:w="289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16 or 17</w:t>
            </w:r>
          </w:p>
        </w:tc>
        <w:tc>
          <w:tcPr>
            <w:tcW w:type="dxa" w:w="462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max_slot_wal_keep_size available since 13; failover slots since 17</w:t>
            </w:r>
          </w:p>
        </w:tc>
      </w:tr>
      <w:tr>
        <w:trPr>
          <w:cantSplit/>
        </w:trPr>
        <w:tc>
          <w:tcPr>
            <w:tcW w:type="dxa" w:w="212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Apache Airflow</w:t>
            </w:r>
          </w:p>
        </w:tc>
        <w:tc>
          <w:tcPr>
            <w:tcW w:type="dxa" w:w="289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3.x (3.3 released July 2026)</w:t>
            </w:r>
          </w:p>
        </w:tc>
        <w:tc>
          <w:tcPr>
            <w:tcW w:type="dxa" w:w="462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Asset-aware scheduling; OpenLineage provider</w:t>
            </w:r>
          </w:p>
        </w:tc>
      </w:tr>
      <w:tr>
        <w:trPr>
          <w:cantSplit/>
        </w:trPr>
        <w:tc>
          <w:tcPr>
            <w:tcW w:type="dxa" w:w="212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Apache Iceberg sink</w:t>
            </w:r>
          </w:p>
        </w:tc>
        <w:tc>
          <w:tcPr>
            <w:tcW w:type="dxa" w:w="289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Pinned Iceberg release</w:t>
            </w:r>
          </w:p>
        </w:tc>
        <w:tc>
          <w:tcPr>
            <w:tcW w:type="dxa" w:w="462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Built from the Iceberg repository in a Dockerfile</w:t>
            </w:r>
          </w:p>
        </w:tc>
      </w:tr>
      <w:tr>
        <w:trPr>
          <w:cantSplit/>
        </w:trPr>
        <w:tc>
          <w:tcPr>
            <w:tcW w:type="dxa" w:w="212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dbt</w:t>
            </w:r>
          </w:p>
        </w:tc>
        <w:tc>
          <w:tcPr>
            <w:tcW w:type="dxa" w:w="289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dbt-core 1.8 or later + dbt-athena</w:t>
            </w:r>
          </w:p>
        </w:tc>
        <w:tc>
          <w:tcPr>
            <w:tcW w:type="dxa" w:w="462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Unit tests need 1.8+; MERGE needs Athena engine version 3</w:t>
            </w:r>
          </w:p>
        </w:tc>
      </w:tr>
    </w:tbl>
    <w:p>
      <w:pPr>
        <w:spacing w:after="120"/>
      </w:pPr>
    </w:p>
    <w:p>
      <w:pPr>
        <w:pStyle w:val="Heading1"/>
      </w:pPr>
      <w:r>
        <w:t xml:space="preserve">6. Functional requirements</w:t>
      </w:r>
    </w:p>
    <w:p>
      <w:pPr>
        <w:pStyle w:val="Heading2"/>
      </w:pPr>
      <w:r>
        <w:t xml:space="preserve">FR1: Capture</w:t>
      </w:r>
    </w:p>
    <w:p>
      <w:pPr>
        <w:spacing w:after="120"/>
      </w:pPr>
      <w:r>
        <w:t xml:space="preserve">Capture every insert, update and delete on the 6 source tables, starting with an initial snapshot. Changes are published to one Kafka topic per table, keyed by primary key so that all changes to a row stay in order within one partition. Each event is serialised in Avro and carries its operation type, log position (LSN), commit timestamp and source table name.</w:t>
      </w:r>
    </w:p>
    <w:p>
      <w:pPr>
        <w:spacing w:after="120"/>
      </w:pPr>
      <w:r>
        <w:t xml:space="preserve">Debezium configuration requirements:</w:t>
      </w:r>
    </w:p>
    <w:p>
      <w:pPr>
        <w:pStyle w:val="ListParagraph"/>
        <w:numPr>
          <w:ilvl w:val="0"/>
          <w:numId w:val="2"/>
        </w:numPr>
        <w:spacing w:after="60"/>
      </w:pPr>
      <w:r>
        <w:rPr>
          <w:b/>
          <w:bCs/>
        </w:rPr>
        <w:t xml:space="preserve">pgoutput</w:t>
      </w:r>
      <w:r>
        <w:t xml:space="preserve"> logical decoding plugin, with a publication limited to the captured tables (publication.autocreate.mode = filtered), so the WAL decoded for other tables is not streamed.</w:t>
      </w:r>
    </w:p>
    <w:p>
      <w:pPr>
        <w:pStyle w:val="ListParagraph"/>
        <w:numPr>
          <w:ilvl w:val="0"/>
          <w:numId w:val="2"/>
        </w:numPr>
        <w:spacing w:after="60"/>
      </w:pPr>
      <w:r>
        <w:rPr>
          <w:b/>
          <w:bCs/>
        </w:rPr>
        <w:t xml:space="preserve">Heartbeats</w:t>
      </w:r>
      <w:r>
        <w:t xml:space="preserve"> (heartbeat.interval.ms of about 30 seconds, with a heartbeat.action.query writing to a small heartbeat table) so the replication slot keeps advancing even when captured tables are idle.</w:t>
      </w:r>
    </w:p>
    <w:p>
      <w:pPr>
        <w:pStyle w:val="ListParagraph"/>
        <w:numPr>
          <w:ilvl w:val="0"/>
          <w:numId w:val="2"/>
        </w:numPr>
        <w:spacing w:after="60"/>
      </w:pPr>
      <w:r>
        <w:rPr>
          <w:b/>
          <w:bCs/>
        </w:rPr>
        <w:t xml:space="preserve">Exactly-once source delivery</w:t>
      </w:r>
      <w:r>
        <w:t xml:space="preserve">: Kafka Connect in distributed mode (3.3 or later) with exactly.once.source.support = enabled on the workers and exactly.once.support = required on the connector. The Debezium documentation itself notes open questions about Kafka transaction correctness, so deduplication in silver stays as the safety net.</w:t>
      </w:r>
    </w:p>
    <w:p>
      <w:pPr>
        <w:pStyle w:val="ListParagraph"/>
        <w:numPr>
          <w:ilvl w:val="0"/>
          <w:numId w:val="2"/>
        </w:numPr>
        <w:spacing w:after="60"/>
      </w:pPr>
      <w:r>
        <w:t xml:space="preserve">lz4 compression on the connector producer to reduce network and storage volume.</w:t>
      </w:r>
    </w:p>
    <w:p>
      <w:pPr>
        <w:pStyle w:val="Heading2"/>
      </w:pPr>
      <w:r>
        <w:t xml:space="preserve">FR2: Bronze layer</w:t>
      </w:r>
    </w:p>
    <w:p>
      <w:pPr>
        <w:spacing w:after="120"/>
      </w:pPr>
      <w:r>
        <w:t xml:space="preserve">Store an append-only, immutable change log per source table. Nothing in bronze is ever updated in place. The Iceberg sink runs in append mode only; its upsert/CDC mode is deliberately not used, because deduplication belongs in silver. This matches common production practice: the Iceberg Kafka Connect sink is used for append-only bronze, and upserts happen in a later layer.</w:t>
      </w:r>
    </w:p>
    <w:p>
      <w:pPr>
        <w:pStyle w:val="Heading2"/>
      </w:pPr>
      <w:r>
        <w:t xml:space="preserve">FR3: Silver layer</w:t>
      </w:r>
    </w:p>
    <w:p>
      <w:pPr>
        <w:spacing w:after="120"/>
      </w:pPr>
      <w:r>
        <w:t xml:space="preserve">Build the current state of each entity from the change log:</w:t>
      </w:r>
    </w:p>
    <w:p>
      <w:pPr>
        <w:pStyle w:val="ListParagraph"/>
        <w:numPr>
          <w:ilvl w:val="0"/>
          <w:numId w:val="2"/>
        </w:numPr>
        <w:spacing w:after="60"/>
      </w:pPr>
      <w:r>
        <w:t xml:space="preserve">keep only the latest version of each row, ordered by LSN;</w:t>
      </w:r>
    </w:p>
    <w:p>
      <w:pPr>
        <w:pStyle w:val="ListParagraph"/>
        <w:numPr>
          <w:ilvl w:val="0"/>
          <w:numId w:val="2"/>
        </w:numPr>
        <w:spacing w:after="60"/>
      </w:pPr>
      <w:r>
        <w:t xml:space="preserve">remove rows that were deleted at the source;</w:t>
      </w:r>
    </w:p>
    <w:p>
      <w:pPr>
        <w:pStyle w:val="ListParagraph"/>
        <w:numPr>
          <w:ilvl w:val="0"/>
          <w:numId w:val="2"/>
        </w:numPr>
        <w:spacing w:after="60"/>
      </w:pPr>
      <w:r>
        <w:t xml:space="preserve">be idempotent, so that a rerun always gives the same result;</w:t>
      </w:r>
    </w:p>
    <w:p>
      <w:pPr>
        <w:pStyle w:val="ListParagraph"/>
        <w:numPr>
          <w:ilvl w:val="0"/>
          <w:numId w:val="2"/>
        </w:numPr>
        <w:spacing w:after="60"/>
      </w:pPr>
      <w:r>
        <w:t xml:space="preserve">be </w:t>
      </w:r>
      <w:r>
        <w:rPr>
          <w:b/>
          <w:bCs/>
        </w:rPr>
        <w:t xml:space="preserve">incremental</w:t>
      </w:r>
      <w:r>
        <w:t xml:space="preserve">: dbt incremental models with the Iceberg MERGE strategy (dbt-athena, Athena engine version 3). Each run only reads bronze rows newer than the last processed commit, uses the primary key as unique_key, and applies source deletes through delete_condition. incremental_predicates limit the rows scanned in the target table.</w:t>
      </w:r>
    </w:p>
    <w:p>
      <w:pPr>
        <w:spacing w:after="120"/>
      </w:pPr>
      <w:r>
        <w:t xml:space="preserve">The events table is append-only, so its silver version only needs deduplication, not current-state logic.</w:t>
      </w:r>
    </w:p>
    <w:p>
      <w:pPr>
        <w:pStyle w:val="Heading2"/>
      </w:pPr>
      <w:r>
        <w:t xml:space="preserve">FR4: User history (SCD2)</w:t>
      </w:r>
    </w:p>
    <w:p>
      <w:pPr>
        <w:spacing w:after="120"/>
      </w:pPr>
      <w:r>
        <w:t xml:space="preserve">Build dim_user with one row per version of each user, with valid_from and valid_to taken from source commit timestamps. Each order joins to the user's address as it was at purchase time, not the current one.</w:t>
      </w:r>
    </w:p>
    <w:p>
      <w:pPr>
        <w:spacing w:after="120"/>
      </w:pPr>
      <w:r>
        <w:t xml:space="preserve">dbt snapshots are supported on Athena but are deliberately not used: they only record the state seen at each run, whereas the change log contains every intermediate version.</w:t>
      </w:r>
    </w:p>
    <w:p>
      <w:pPr>
        <w:pStyle w:val="Heading2"/>
      </w:pPr>
      <w:r>
        <w:t xml:space="preserve">FR5: Gold star schema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sz w:val="19"/>
                <w:szCs w:val="19"/>
              </w:rPr>
              <w:t xml:space="preserve">Type</w:t>
            </w:r>
          </w:p>
        </w:tc>
        <w:tc>
          <w:tcPr>
            <w:tcW w:type="dxa" w:w="722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sz w:val="19"/>
                <w:szCs w:val="19"/>
              </w:rPr>
              <w:t xml:space="preserve">Tables</w:t>
            </w:r>
          </w:p>
        </w:tc>
      </w:tr>
      <w:tr>
        <w:trPr>
          <w:cantSplit/>
        </w:trPr>
        <w:tc>
          <w:tcPr>
            <w:tcW w:type="dxa" w:w="241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Facts</w:t>
            </w:r>
          </w:p>
        </w:tc>
        <w:tc>
          <w:tcPr>
            <w:tcW w:type="dxa" w:w="722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fct_orders, fct_order_items, fct_sessions (built from events)</w:t>
            </w:r>
          </w:p>
        </w:tc>
      </w:tr>
      <w:tr>
        <w:trPr>
          <w:cantSplit/>
        </w:trPr>
        <w:tc>
          <w:tcPr>
            <w:tcW w:type="dxa" w:w="241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Dimensions</w:t>
            </w:r>
          </w:p>
        </w:tc>
        <w:tc>
          <w:tcPr>
            <w:tcW w:type="dxa" w:w="722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dim_user (SCD2), dim_product, dim_distribution_center, dim_date</w:t>
            </w:r>
          </w:p>
        </w:tc>
      </w:tr>
    </w:tbl>
    <w:p>
      <w:pPr>
        <w:spacing w:after="120"/>
      </w:pPr>
    </w:p>
    <w:p>
      <w:pPr>
        <w:pStyle w:val="Heading2"/>
      </w:pPr>
      <w:r>
        <w:t xml:space="preserve">FR6: Metrics layer</w:t>
      </w:r>
    </w:p>
    <w:p>
      <w:pPr>
        <w:spacing w:after="120"/>
      </w:pPr>
      <w:r>
        <w:t xml:space="preserve">One agreed definition for each business metric, documented and tested:</w:t>
      </w:r>
    </w:p>
    <w:p>
      <w:pPr>
        <w:pStyle w:val="ListParagraph"/>
        <w:numPr>
          <w:ilvl w:val="0"/>
          <w:numId w:val="2"/>
        </w:numPr>
        <w:spacing w:after="60"/>
      </w:pPr>
      <w:r>
        <w:t xml:space="preserve">gross revenue and net revenue (after cancellations and returns);</w:t>
      </w:r>
    </w:p>
    <w:p>
      <w:pPr>
        <w:pStyle w:val="ListParagraph"/>
        <w:numPr>
          <w:ilvl w:val="0"/>
          <w:numId w:val="2"/>
        </w:numPr>
        <w:spacing w:after="60"/>
      </w:pPr>
      <w:r>
        <w:t xml:space="preserve">gross margin, using product cost versus sale price;</w:t>
      </w:r>
    </w:p>
    <w:p>
      <w:pPr>
        <w:pStyle w:val="ListParagraph"/>
        <w:numPr>
          <w:ilvl w:val="0"/>
          <w:numId w:val="2"/>
        </w:numPr>
        <w:spacing w:after="60"/>
      </w:pPr>
      <w:r>
        <w:t xml:space="preserve">average order value;</w:t>
      </w:r>
    </w:p>
    <w:p>
      <w:pPr>
        <w:pStyle w:val="ListParagraph"/>
        <w:numPr>
          <w:ilvl w:val="0"/>
          <w:numId w:val="2"/>
        </w:numPr>
        <w:spacing w:after="60"/>
      </w:pPr>
      <w:r>
        <w:t xml:space="preserve">cancellation rate and return rate;</w:t>
      </w:r>
    </w:p>
    <w:p>
      <w:pPr>
        <w:pStyle w:val="ListParagraph"/>
        <w:numPr>
          <w:ilvl w:val="0"/>
          <w:numId w:val="2"/>
        </w:numPr>
        <w:spacing w:after="60"/>
      </w:pPr>
      <w:r>
        <w:t xml:space="preserve">time to ship and time to deliver;</w:t>
      </w:r>
    </w:p>
    <w:p>
      <w:pPr>
        <w:pStyle w:val="ListParagraph"/>
        <w:numPr>
          <w:ilvl w:val="0"/>
          <w:numId w:val="2"/>
        </w:numPr>
        <w:spacing w:after="60"/>
      </w:pPr>
      <w:r>
        <w:t xml:space="preserve">session-to-purchase conversion rate, from the events table.</w:t>
      </w:r>
    </w:p>
    <w:p>
      <w:pPr>
        <w:pStyle w:val="Heading2"/>
      </w:pPr>
      <w:r>
        <w:t xml:space="preserve">FR7: Data contracts</w:t>
      </w:r>
    </w:p>
    <w:p>
      <w:pPr>
        <w:pStyle w:val="ListParagraph"/>
        <w:numPr>
          <w:ilvl w:val="0"/>
          <w:numId w:val="2"/>
        </w:numPr>
        <w:spacing w:after="60"/>
      </w:pPr>
      <w:r>
        <w:t xml:space="preserve">One contract per table, written in the </w:t>
      </w:r>
      <w:r>
        <w:rPr>
          <w:b/>
          <w:bCs/>
        </w:rPr>
        <w:t xml:space="preserve">Open Data Contract Standard (ODCS)</w:t>
      </w:r>
      <w:r>
        <w:t xml:space="preserve">, defines the schema, types, primary key, quality rules, PII flags and owner.</w:t>
      </w:r>
    </w:p>
    <w:p>
      <w:pPr>
        <w:pStyle w:val="ListParagraph"/>
        <w:numPr>
          <w:ilvl w:val="0"/>
          <w:numId w:val="2"/>
        </w:numPr>
        <w:spacing w:after="60"/>
      </w:pPr>
      <w:r>
        <w:t xml:space="preserve">Contracts are checked automatically with </w:t>
      </w:r>
      <w:r>
        <w:rPr>
          <w:b/>
          <w:bCs/>
        </w:rPr>
        <w:t xml:space="preserve">datacontract-cli</w:t>
      </w:r>
      <w:r>
        <w:t xml:space="preserve">, which can test Athena, S3 and Iceberg data, and Avro Kafka topics through Schema Registry (its Kafka support is still marked experimental).</w:t>
      </w:r>
    </w:p>
    <w:p>
      <w:pPr>
        <w:pStyle w:val="ListParagraph"/>
        <w:numPr>
          <w:ilvl w:val="0"/>
          <w:numId w:val="2"/>
        </w:numPr>
        <w:spacing w:after="60"/>
      </w:pPr>
      <w:r>
        <w:t xml:space="preserve">Schema Registry enforces the schema on the wire, with a compatibility rule (for example BACKWARD) that rejects breaking changes at the producer.</w:t>
      </w:r>
    </w:p>
    <w:p>
      <w:pPr>
        <w:pStyle w:val="ListParagraph"/>
        <w:numPr>
          <w:ilvl w:val="0"/>
          <w:numId w:val="2"/>
        </w:numPr>
        <w:spacing w:after="60"/>
      </w:pPr>
      <w:r>
        <w:t xml:space="preserve">Records that violate a contract go to a dead-letter area and raise an alert.</w:t>
      </w:r>
    </w:p>
    <w:p>
      <w:pPr>
        <w:pStyle w:val="ListParagraph"/>
        <w:numPr>
          <w:ilvl w:val="0"/>
          <w:numId w:val="2"/>
        </w:numPr>
        <w:spacing w:after="60"/>
      </w:pPr>
      <w:r>
        <w:t xml:space="preserve">The contract files are the single source of truth: Terraform reads them to create the bronze tables.</w:t>
      </w:r>
    </w:p>
    <w:p>
      <w:pPr>
        <w:pStyle w:val="ListParagraph"/>
        <w:numPr>
          <w:ilvl w:val="0"/>
          <w:numId w:val="2"/>
        </w:numPr>
        <w:spacing w:after="60"/>
      </w:pPr>
      <w:r>
        <w:t xml:space="preserve">The contracts also protect the pipeline against schema changes in the generator itself.</w:t>
      </w:r>
    </w:p>
    <w:p>
      <w:pPr>
        <w:pStyle w:val="Heading2"/>
      </w:pPr>
      <w:r>
        <w:t xml:space="preserve">FR8: Data quality</w:t>
      </w:r>
    </w:p>
    <w:p>
      <w:pPr>
        <w:pStyle w:val="ListParagraph"/>
        <w:numPr>
          <w:ilvl w:val="0"/>
          <w:numId w:val="2"/>
        </w:numPr>
        <w:spacing w:after="60"/>
      </w:pPr>
      <w:r>
        <w:t xml:space="preserve">dbt tests: unique, not null, relationships, accepted values (for example, order status).</w:t>
      </w:r>
    </w:p>
    <w:p>
      <w:pPr>
        <w:pStyle w:val="ListParagraph"/>
        <w:numPr>
          <w:ilvl w:val="0"/>
          <w:numId w:val="2"/>
        </w:numPr>
        <w:spacing w:after="60"/>
      </w:pPr>
      <w:r>
        <w:t xml:space="preserve">Freshness checks on every source.</w:t>
      </w:r>
    </w:p>
    <w:p>
      <w:pPr>
        <w:pStyle w:val="ListParagraph"/>
        <w:numPr>
          <w:ilvl w:val="0"/>
          <w:numId w:val="2"/>
        </w:numPr>
        <w:spacing w:after="60"/>
      </w:pPr>
      <w:r>
        <w:t xml:space="preserve">Row-count reconciliation between the source database and the silver layer.</w:t>
      </w:r>
    </w:p>
    <w:p>
      <w:pPr>
        <w:pStyle w:val="ListParagraph"/>
        <w:numPr>
          <w:ilvl w:val="0"/>
          <w:numId w:val="2"/>
        </w:numPr>
        <w:spacing w:after="60"/>
      </w:pPr>
      <w:r>
        <w:rPr>
          <w:b/>
          <w:bCs/>
        </w:rPr>
        <w:t xml:space="preserve">dbt unit tests</w:t>
      </w:r>
      <w:r>
        <w:t xml:space="preserve"> (dbt 1.8+) on fixed input rows for the hardest logic: LSN deduplication, delete handling, SCD2 validity ranges, and net revenue after returns. Incremental models are tested in both modes using the is_incremental override.</w:t>
      </w:r>
    </w:p>
    <w:p>
      <w:pPr>
        <w:pStyle w:val="Heading2"/>
      </w:pPr>
      <w:r>
        <w:t xml:space="preserve">FR9: Data-deletion (GDPR) workflow</w:t>
      </w:r>
    </w:p>
    <w:p>
      <w:pPr>
        <w:pStyle w:val="ListParagraph"/>
        <w:numPr>
          <w:ilvl w:val="0"/>
          <w:numId w:val="2"/>
        </w:numPr>
        <w:spacing w:after="60"/>
      </w:pPr>
      <w:r>
        <w:t xml:space="preserve">A deletion request removes the user from every layer: users, orders, and the clickstream events linked to them (including IP addresses).</w:t>
      </w:r>
    </w:p>
    <w:p>
      <w:pPr>
        <w:pStyle w:val="ListParagraph"/>
        <w:numPr>
          <w:ilvl w:val="0"/>
          <w:numId w:val="2"/>
        </w:numPr>
        <w:spacing w:after="60"/>
      </w:pPr>
      <w:r>
        <w:t xml:space="preserve">Old Iceberg snapshots are then expired so the data is physically gone, including from time travel. On Athena this means lowering vacuum_max_snapshot_age_seconds on the affected tables and running VACUUM, which expires snapshots and removes orphan files.</w:t>
      </w:r>
    </w:p>
    <w:p>
      <w:pPr>
        <w:pStyle w:val="ListParagraph"/>
        <w:numPr>
          <w:ilvl w:val="0"/>
          <w:numId w:val="2"/>
        </w:numPr>
        <w:spacing w:after="60"/>
      </w:pPr>
      <w:r>
        <w:t xml:space="preserve">Kafka topics also hold the personal data until retention expires. Topic retention is therefore kept short (a few days) and documented as the upper bound of the erasure delay.</w:t>
      </w:r>
    </w:p>
    <w:p>
      <w:pPr>
        <w:pStyle w:val="ListParagraph"/>
        <w:numPr>
          <w:ilvl w:val="0"/>
          <w:numId w:val="2"/>
        </w:numPr>
        <w:spacing w:after="60"/>
      </w:pPr>
      <w:r>
        <w:t xml:space="preserve">Every step is recorded in an audit table.</w:t>
      </w:r>
    </w:p>
    <w:p>
      <w:pPr>
        <w:pStyle w:val="ListParagraph"/>
        <w:numPr>
          <w:ilvl w:val="0"/>
          <w:numId w:val="2"/>
        </w:numPr>
        <w:spacing w:after="60"/>
      </w:pPr>
      <w:r>
        <w:t xml:space="preserve">Aggregated metrics are kept, since they no longer identify the person.</w:t>
      </w:r>
    </w:p>
    <w:p>
      <w:pPr>
        <w:pStyle w:val="Heading2"/>
      </w:pPr>
      <w:r>
        <w:t xml:space="preserve">FR10: Backfill</w:t>
      </w:r>
    </w:p>
    <w:p>
      <w:pPr>
        <w:spacing w:after="120"/>
      </w:pPr>
      <w:r>
        <w:t xml:space="preserve">Rebuild silver and gold for any date range without creating duplicates. This is demonstrated by injecting a logic bug (for example, counting returned orders as revenue), fixing it, and reprocessing the affected period with an Airflow backfill over that date range.</w:t>
      </w:r>
    </w:p>
    <w:p>
      <w:pPr>
        <w:pStyle w:val="Heading2"/>
      </w:pPr>
      <w:r>
        <w:t xml:space="preserve">FR11: PII governance</w:t>
      </w:r>
    </w:p>
    <w:p>
      <w:pPr>
        <w:spacing w:after="120"/>
      </w:pPr>
      <w:r>
        <w:t xml:space="preserve">PII columns are tagged in the contracts: first and last name, email, street address, postal code, latitude/longitude, and IP address. Analysts see them masked; only a privileged role sees them in clear, enforced with AWS Lake Formation. Lake Formation data cell filters work on Iceberg tables queried with Athena engine version 3, but not on views or nested columns, so they are applied to the gold tables themselves.</w:t>
      </w:r>
    </w:p>
    <w:p>
      <w:pPr>
        <w:pStyle w:val="Heading2"/>
      </w:pPr>
      <w:r>
        <w:t xml:space="preserve">FR12: Orchestration</w:t>
      </w:r>
    </w:p>
    <w:p>
      <w:pPr>
        <w:spacing w:after="120"/>
      </w:pPr>
      <w:r>
        <w:t xml:space="preserve">Apache Airflow runs next to Kafka on the on-prem side and schedules everything that is not streaming. Each DAG is idempotent and parameterised by date, so any run can be repeated or backfilled safely.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410"/>
        <w:gridCol w:w="5300"/>
      </w:tblGrid>
      <w:tr>
        <w:trPr>
          <w:tblHeader/>
        </w:trPr>
        <w:tc>
          <w:tcPr>
            <w:tcW w:type="dxa" w:w="192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sz w:val="19"/>
                <w:szCs w:val="19"/>
              </w:rPr>
              <w:t xml:space="preserve">DAG</w:t>
            </w:r>
          </w:p>
        </w:tc>
        <w:tc>
          <w:tcPr>
            <w:tcW w:type="dxa" w:w="2410"/>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sz w:val="19"/>
                <w:szCs w:val="19"/>
              </w:rPr>
              <w:t xml:space="preserve">Schedule</w:t>
            </w:r>
          </w:p>
        </w:tc>
        <w:tc>
          <w:tcPr>
            <w:tcW w:type="dxa" w:w="5300"/>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sz w:val="19"/>
                <w:szCs w:val="19"/>
              </w:rPr>
              <w:t xml:space="preserve">Tasks</w:t>
            </w:r>
          </w:p>
        </w:tc>
      </w:tr>
      <w:tr>
        <w:trPr>
          <w:cantSplit/>
        </w:trPr>
        <w:tc>
          <w:tcPr>
            <w:tcW w:type="dxa" w:w="192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transform</w:t>
            </w:r>
          </w:p>
        </w:tc>
        <w:tc>
          <w:tcPr>
            <w:tcW w:type="dxa" w:w="241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Every 30 minutes</w:t>
            </w:r>
          </w:p>
        </w:tc>
        <w:tc>
          <w:tcPr>
            <w:tcW w:type="dxa" w:w="530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dbt build on Athena (silver, gold, tests); fail and alert if a test fails</w:t>
            </w:r>
          </w:p>
        </w:tc>
      </w:tr>
      <w:tr>
        <w:trPr>
          <w:cantSplit/>
        </w:trPr>
        <w:tc>
          <w:tcPr>
            <w:tcW w:type="dxa" w:w="192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maintenance</w:t>
            </w:r>
          </w:p>
        </w:tc>
        <w:tc>
          <w:tcPr>
            <w:tcW w:type="dxa" w:w="241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Daily</w:t>
            </w:r>
          </w:p>
        </w:tc>
        <w:tc>
          <w:tcPr>
            <w:tcW w:type="dxa" w:w="530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OPTIMIZE ... REWRITE DATA USING BIN_PACK on recent partitions; VACUUM to expire snapshots and remove orphan files</w:t>
            </w:r>
          </w:p>
        </w:tc>
      </w:tr>
      <w:tr>
        <w:trPr>
          <w:cantSplit/>
        </w:trPr>
        <w:tc>
          <w:tcPr>
            <w:tcW w:type="dxa" w:w="192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gdpr_erasure</w:t>
            </w:r>
          </w:p>
        </w:tc>
        <w:tc>
          <w:tcPr>
            <w:tcW w:type="dxa" w:w="241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Triggered by a deletion request</w:t>
            </w:r>
          </w:p>
        </w:tc>
        <w:tc>
          <w:tcPr>
            <w:tcW w:type="dxa" w:w="530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Delete the user in every layer, expire snapshots, verify, write the audit record</w:t>
            </w:r>
          </w:p>
        </w:tc>
      </w:tr>
      <w:tr>
        <w:trPr>
          <w:cantSplit/>
        </w:trPr>
        <w:tc>
          <w:tcPr>
            <w:tcW w:type="dxa" w:w="192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quality_report</w:t>
            </w:r>
          </w:p>
        </w:tc>
        <w:tc>
          <w:tcPr>
            <w:tcW w:type="dxa" w:w="241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Daily</w:t>
            </w:r>
          </w:p>
        </w:tc>
        <w:tc>
          <w:tcPr>
            <w:tcW w:type="dxa" w:w="530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Freshness checks, source-to-silver reconciliation, datacontract-cli tests, connector, consumer-lag and replication-slot health</w:t>
            </w:r>
          </w:p>
        </w:tc>
      </w:tr>
    </w:tbl>
    <w:p>
      <w:pPr>
        <w:spacing w:after="120"/>
      </w:pPr>
    </w:p>
    <w:p>
      <w:pPr>
        <w:spacing w:after="120"/>
      </w:pPr>
      <w:r>
        <w:t xml:space="preserve">The OpenLineage provider for Airflow can send lineage events to Marquez, giving a free lineage graph of every DAG run (optional, P6).</w:t>
      </w:r>
    </w:p>
    <w:p>
      <w:pPr>
        <w:pStyle w:val="Heading2"/>
      </w:pPr>
      <w:r>
        <w:t xml:space="preserve">FR13: Replication slot safety</w:t>
      </w:r>
    </w:p>
    <w:p>
      <w:pPr>
        <w:spacing w:after="120"/>
      </w:pPr>
      <w:r>
        <w:t xml:space="preserve">A Debezium replication slot stops PostgreSQL from recycling WAL files the connector has not yet confirmed. If Debezium stops, the WAL grows until the disk is full, which is a classic production outage. Safeguards:</w:t>
      </w:r>
    </w:p>
    <w:p>
      <w:pPr>
        <w:pStyle w:val="ListParagraph"/>
        <w:numPr>
          <w:ilvl w:val="0"/>
          <w:numId w:val="2"/>
        </w:numPr>
        <w:spacing w:after="60"/>
      </w:pPr>
      <w:r>
        <w:t xml:space="preserve">max_slot_wal_keep_size set on the source database, so a stalled slot is invalidated instead of filling the disk;</w:t>
      </w:r>
    </w:p>
    <w:p>
      <w:pPr>
        <w:pStyle w:val="ListParagraph"/>
        <w:numPr>
          <w:ilvl w:val="0"/>
          <w:numId w:val="2"/>
        </w:numPr>
        <w:spacing w:after="60"/>
      </w:pPr>
      <w:r>
        <w:t xml:space="preserve">heartbeats (FR1) so idle tables do not freeze the slot;</w:t>
      </w:r>
    </w:p>
    <w:p>
      <w:pPr>
        <w:pStyle w:val="ListParagraph"/>
        <w:numPr>
          <w:ilvl w:val="0"/>
          <w:numId w:val="2"/>
        </w:numPr>
        <w:spacing w:after="60"/>
      </w:pPr>
      <w:r>
        <w:t xml:space="preserve">alerts when the slot is inactive for more than 30 minutes or retains more WAL than a threshold sized for the machine;</w:t>
      </w:r>
    </w:p>
    <w:p>
      <w:pPr>
        <w:pStyle w:val="ListParagraph"/>
        <w:numPr>
          <w:ilvl w:val="0"/>
          <w:numId w:val="2"/>
        </w:numPr>
        <w:spacing w:after="60"/>
      </w:pPr>
      <w:r>
        <w:t xml:space="preserve">a runbook entry for dropping orphaned slots and re-snapshotting after an invalidated slot.</w:t>
      </w:r>
    </w:p>
    <w:p>
      <w:pPr>
        <w:pStyle w:val="Heading2"/>
      </w:pPr>
      <w:r>
        <w:t xml:space="preserve">FR14: Resilience drills</w:t>
      </w:r>
    </w:p>
    <w:p>
      <w:pPr>
        <w:spacing w:after="120"/>
      </w:pPr>
      <w:r>
        <w:t xml:space="preserve">Each drill is scripted, repeatable and documented with its measured result. They are what turns the correctness claims into evidence.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5301"/>
      </w:tblGrid>
      <w:tr>
        <w:trPr>
          <w:tblHeader/>
        </w:trPr>
        <w:tc>
          <w:tcPr>
            <w:tcW w:type="dxa" w:w="4337"/>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sz w:val="19"/>
                <w:szCs w:val="19"/>
              </w:rPr>
              <w:t xml:space="preserve">Drill</w:t>
            </w:r>
          </w:p>
        </w:tc>
        <w:tc>
          <w:tcPr>
            <w:tcW w:type="dxa" w:w="5301"/>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sz w:val="19"/>
                <w:szCs w:val="19"/>
              </w:rPr>
              <w:t xml:space="preserve">Expected result</w:t>
            </w:r>
          </w:p>
        </w:tc>
      </w:tr>
      <w:tr>
        <w:trPr>
          <w:cantSplit/>
        </w:trPr>
        <w:tc>
          <w:tcPr>
            <w:tcW w:type="dxa" w:w="433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Kill the Kafka Connect worker mid-stream, then restart it</w:t>
            </w:r>
          </w:p>
        </w:tc>
        <w:tc>
          <w:tcPr>
            <w:tcW w:type="dxa" w:w="530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Processing resumes from committed offsets; reconciliation shows 0 lost and 0 duplicated rows</w:t>
            </w:r>
          </w:p>
        </w:tc>
      </w:tr>
      <w:tr>
        <w:trPr>
          <w:cantSplit/>
        </w:trPr>
        <w:tc>
          <w:tcPr>
            <w:tcW w:type="dxa" w:w="433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Restart the Kafka broker under load</w:t>
            </w:r>
          </w:p>
        </w:tc>
        <w:tc>
          <w:tcPr>
            <w:tcW w:type="dxa" w:w="530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Producers and connectors recover automatically; lag returns to normal</w:t>
            </w:r>
          </w:p>
        </w:tc>
      </w:tr>
      <w:tr>
        <w:trPr>
          <w:cantSplit/>
        </w:trPr>
        <w:tc>
          <w:tcPr>
            <w:tcW w:type="dxa" w:w="433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Stop Debezium for one hour while the generator runs</w:t>
            </w:r>
          </w:p>
        </w:tc>
        <w:tc>
          <w:tcPr>
            <w:tcW w:type="dxa" w:w="530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Retained WAL grows and the alert fires; after restart the slot catches up with no data loss</w:t>
            </w:r>
          </w:p>
        </w:tc>
      </w:tr>
      <w:tr>
        <w:trPr>
          <w:cantSplit/>
        </w:trPr>
        <w:tc>
          <w:tcPr>
            <w:tcW w:type="dxa" w:w="433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Reset connector offsets to force a replay</w:t>
            </w:r>
          </w:p>
        </w:tc>
        <w:tc>
          <w:tcPr>
            <w:tcW w:type="dxa" w:w="530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Bronze receives duplicates; silver output is unchanged</w:t>
            </w:r>
          </w:p>
        </w:tc>
      </w:tr>
      <w:tr>
        <w:trPr>
          <w:cantSplit/>
        </w:trPr>
        <w:tc>
          <w:tcPr>
            <w:tcW w:type="dxa" w:w="433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Add a nullable column in PostgreSQL</w:t>
            </w:r>
          </w:p>
        </w:tc>
        <w:tc>
          <w:tcPr>
            <w:tcW w:type="dxa" w:w="530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The change flows through Avro, the Iceberg table schema and dbt without breaking anything</w:t>
            </w:r>
          </w:p>
        </w:tc>
      </w:tr>
      <w:tr>
        <w:trPr>
          <w:cantSplit/>
        </w:trPr>
        <w:tc>
          <w:tcPr>
            <w:tcW w:type="dxa" w:w="433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Attempt an incompatible type change</w:t>
            </w:r>
          </w:p>
        </w:tc>
        <w:tc>
          <w:tcPr>
            <w:tcW w:type="dxa" w:w="530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Schema Registry rejects it; alert raised; nothing reaches the lake</w:t>
            </w:r>
          </w:p>
        </w:tc>
      </w:tr>
    </w:tbl>
    <w:p>
      <w:pPr>
        <w:spacing w:after="120"/>
      </w:pPr>
    </w:p>
    <w:p>
      <w:pPr>
        <w:pStyle w:val="Heading1"/>
      </w:pPr>
      <w:r>
        <w:t xml:space="preserve">7.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sz w:val="19"/>
                <w:szCs w:val="19"/>
              </w:rPr>
              <w:t xml:space="preserve">Area</w:t>
            </w:r>
          </w:p>
        </w:tc>
        <w:tc>
          <w:tcPr>
            <w:tcW w:type="dxa" w:w="722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sz w:val="19"/>
                <w:szCs w:val="19"/>
              </w:rPr>
              <w:t xml:space="preserve">Requirement</w:t>
            </w:r>
          </w:p>
        </w:tc>
      </w:tr>
      <w:tr>
        <w:trPr>
          <w:cantSplit/>
        </w:trPr>
        <w:tc>
          <w:tcPr>
            <w:tcW w:type="dxa" w:w="241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Delivery semantics</w:t>
            </w:r>
          </w:p>
        </w:tc>
        <w:tc>
          <w:tcPr>
            <w:tcW w:type="dxa" w:w="722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Debezium source is at-least-once; the Iceberg sink is exactly-once; silver deduplicates on LSN, which gives exactly-once results end to end</w:t>
            </w:r>
          </w:p>
        </w:tc>
      </w:tr>
      <w:tr>
        <w:trPr>
          <w:cantSplit/>
        </w:trPr>
        <w:tc>
          <w:tcPr>
            <w:tcW w:type="dxa" w:w="241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Kafka configuration</w:t>
            </w:r>
          </w:p>
        </w:tc>
        <w:tc>
          <w:tcPr>
            <w:tcW w:type="dxa" w:w="722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Topic retention long enough to replay a full day; replication factor documented (1 locally, 3 in a production design); consumer lag monitored</w:t>
            </w:r>
          </w:p>
        </w:tc>
      </w:tr>
      <w:tr>
        <w:trPr>
          <w:cantSplit/>
        </w:trPr>
        <w:tc>
          <w:tcPr>
            <w:tcW w:type="dxa" w:w="241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Schema evolution</w:t>
            </w:r>
          </w:p>
        </w:tc>
        <w:tc>
          <w:tcPr>
            <w:tcW w:type="dxa" w:w="722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A new nullable column is added without breaking the pipeline; an incompatible type change is blocked by the contract</w:t>
            </w:r>
          </w:p>
        </w:tc>
      </w:tr>
      <w:tr>
        <w:trPr>
          <w:cantSplit/>
        </w:trPr>
        <w:tc>
          <w:tcPr>
            <w:tcW w:type="dxa" w:w="241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Performance</w:t>
            </w:r>
          </w:p>
        </w:tc>
        <w:tc>
          <w:tcPr>
            <w:tcW w:type="dxa" w:w="722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Bronze tables partitioned by day; scheduled compaction (the events table matters most); Athena bytes scanned measured before and after optimisation</w:t>
            </w:r>
          </w:p>
        </w:tc>
      </w:tr>
      <w:tr>
        <w:trPr>
          <w:cantSplit/>
        </w:trPr>
        <w:tc>
          <w:tcPr>
            <w:tcW w:type="dxa" w:w="241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Security</w:t>
            </w:r>
          </w:p>
        </w:tc>
        <w:tc>
          <w:tcPr>
            <w:tcW w:type="dxa" w:w="722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The on-prem Kafka Connect worker uses a dedicated IAM user restricted to the lake bucket and Glue databases (never admin keys); least-privilege IAM for every other component; S3 encrypted with KMS; no secrets in the repository; GitHub Actions authenticates with OIDC</w:t>
            </w:r>
          </w:p>
        </w:tc>
      </w:tr>
      <w:tr>
        <w:trPr>
          <w:cantSplit/>
        </w:trPr>
        <w:tc>
          <w:tcPr>
            <w:tcW w:type="dxa" w:w="241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Cost</w:t>
            </w:r>
          </w:p>
        </w:tc>
        <w:tc>
          <w:tcPr>
            <w:tcW w:type="dxa" w:w="722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AWS Budget alarm; scan limit per Athena query (workgroup); one-command teardown</w:t>
            </w:r>
          </w:p>
        </w:tc>
      </w:tr>
      <w:tr>
        <w:trPr>
          <w:cantSplit/>
        </w:trPr>
        <w:tc>
          <w:tcPr>
            <w:tcW w:type="dxa" w:w="241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Observability</w:t>
            </w:r>
          </w:p>
        </w:tc>
        <w:tc>
          <w:tcPr>
            <w:tcW w:type="dxa" w:w="722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Kafka consumer lag and connector status monitored (for example Prometheus and Grafana on-prem); CloudWatch alarms on data freshness, dead-letter volume and Athena usage</w:t>
            </w:r>
          </w:p>
        </w:tc>
      </w:tr>
      <w:tr>
        <w:trPr>
          <w:cantSplit/>
        </w:trPr>
        <w:tc>
          <w:tcPr>
            <w:tcW w:type="dxa" w:w="241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Documentation</w:t>
            </w:r>
          </w:p>
        </w:tc>
        <w:tc>
          <w:tcPr>
            <w:tcW w:type="dxa" w:w="722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README with architecture, design decisions, cost breakdown and an operations runbook</w:t>
            </w:r>
          </w:p>
        </w:tc>
      </w:tr>
    </w:tbl>
    <w:p>
      <w:pPr>
        <w:spacing w:after="120"/>
      </w:pPr>
    </w:p>
    <w:p>
      <w:pPr>
        <w:pStyle w:val="Heading1"/>
      </w:pPr>
      <w:r>
        <w:t xml:space="preserve">8. Key technical challenges</w:t>
      </w:r>
    </w:p>
    <w:p>
      <w:pPr>
        <w:spacing w:after="120"/>
      </w:pPr>
      <w:r>
        <w:t xml:space="preserve">These are the problems that make the project worth discussing in an interview. Each one should be documented in the README with the chosen solution and its trade-offs.</w:t>
      </w:r>
    </w:p>
    <w:p>
      <w:pPr>
        <w:pStyle w:val="ListParagraph"/>
        <w:numPr>
          <w:ilvl w:val="0"/>
          <w:numId w:val="3"/>
        </w:numPr>
        <w:spacing w:after="60"/>
      </w:pPr>
      <w:r>
        <w:rPr>
          <w:b/>
          <w:bCs/>
        </w:rPr>
        <w:t xml:space="preserve">Out-of-order and duplicate events:</w:t>
      </w:r>
      <w:r>
        <w:t xml:space="preserve"> Kafka only guarantees order within a partition, so topics are keyed by primary key; silver still orders by LSN and deduplicates, because a connector restart can replay events.</w:t>
      </w:r>
    </w:p>
    <w:p>
      <w:pPr>
        <w:pStyle w:val="ListParagraph"/>
        <w:numPr>
          <w:ilvl w:val="0"/>
          <w:numId w:val="3"/>
        </w:numPr>
        <w:spacing w:after="60"/>
      </w:pPr>
      <w:r>
        <w:rPr>
          <w:b/>
          <w:bCs/>
        </w:rPr>
        <w:t xml:space="preserve">Deletes in an append-only lake:</w:t>
      </w:r>
      <w:r>
        <w:t xml:space="preserve"> a delete is stored as an event in bronze and applied when building silver.</w:t>
      </w:r>
    </w:p>
    <w:p>
      <w:pPr>
        <w:pStyle w:val="ListParagraph"/>
        <w:numPr>
          <w:ilvl w:val="0"/>
          <w:numId w:val="3"/>
        </w:numPr>
        <w:spacing w:after="60"/>
      </w:pPr>
      <w:r>
        <w:rPr>
          <w:b/>
          <w:bCs/>
        </w:rPr>
        <w:t xml:space="preserve">SCD2 from the change log:</w:t>
      </w:r>
      <w:r>
        <w:t xml:space="preserve"> more accurate than periodic snapshots, because it captures every change rather than the state at snapshot time.</w:t>
      </w:r>
    </w:p>
    <w:p>
      <w:pPr>
        <w:pStyle w:val="ListParagraph"/>
        <w:numPr>
          <w:ilvl w:val="0"/>
          <w:numId w:val="3"/>
        </w:numPr>
        <w:spacing w:after="60"/>
      </w:pPr>
      <w:r>
        <w:rPr>
          <w:b/>
          <w:bCs/>
        </w:rPr>
        <w:t xml:space="preserve">Returns restate the past:</w:t>
      </w:r>
      <w:r>
        <w:t xml:space="preserve"> an order counted as revenue last week becomes a return today. Metrics must be recomputed for past periods, and the dashboards must say which figures can still change.</w:t>
      </w:r>
    </w:p>
    <w:p>
      <w:pPr>
        <w:pStyle w:val="ListParagraph"/>
        <w:numPr>
          <w:ilvl w:val="0"/>
          <w:numId w:val="3"/>
        </w:numPr>
        <w:spacing w:after="60"/>
      </w:pPr>
      <w:r>
        <w:rPr>
          <w:b/>
          <w:bCs/>
        </w:rPr>
        <w:t xml:space="preserve">Different change patterns per table:</w:t>
      </w:r>
      <w:r>
        <w:t xml:space="preserve"> static reference data, frequently updated orders and a high-volume append-only log each need their own bronze-to-silver strategy.</w:t>
      </w:r>
    </w:p>
    <w:p>
      <w:pPr>
        <w:pStyle w:val="ListParagraph"/>
        <w:numPr>
          <w:ilvl w:val="0"/>
          <w:numId w:val="3"/>
        </w:numPr>
        <w:spacing w:after="60"/>
      </w:pPr>
      <w:r>
        <w:rPr>
          <w:b/>
          <w:bCs/>
        </w:rPr>
        <w:t xml:space="preserve">Small files:</w:t>
      </w:r>
      <w:r>
        <w:t xml:space="preserve"> every Iceberg sink commit creates new files, and the events table generates many of them. The commit interval (default 5 minutes) trades freshness against file count, and compaction is still needed.</w:t>
      </w:r>
    </w:p>
    <w:p>
      <w:pPr>
        <w:pStyle w:val="ListParagraph"/>
        <w:numPr>
          <w:ilvl w:val="0"/>
          <w:numId w:val="3"/>
        </w:numPr>
        <w:spacing w:after="60"/>
      </w:pPr>
      <w:r>
        <w:rPr>
          <w:b/>
          <w:bCs/>
        </w:rPr>
        <w:t xml:space="preserve">WAL retention:</w:t>
      </w:r>
      <w:r>
        <w:t xml:space="preserve"> the source database silently keeps every change the connector has not confirmed, so a stopped pipeline becomes a disk problem on the production database.</w:t>
      </w:r>
    </w:p>
    <w:p>
      <w:pPr>
        <w:pStyle w:val="ListParagraph"/>
        <w:numPr>
          <w:ilvl w:val="0"/>
          <w:numId w:val="3"/>
        </w:numPr>
        <w:spacing w:after="60"/>
      </w:pPr>
      <w:r>
        <w:rPr>
          <w:b/>
          <w:bCs/>
        </w:rPr>
        <w:t xml:space="preserve">Exactly-once is layered, not absolute:</w:t>
      </w:r>
      <w:r>
        <w:t xml:space="preserve"> exactly-once source and sink settings reduce duplicates, but correctness still depends on idempotent processing in silver.</w:t>
      </w:r>
    </w:p>
    <w:p>
      <w:pPr>
        <w:pStyle w:val="ListParagraph"/>
        <w:numPr>
          <w:ilvl w:val="0"/>
          <w:numId w:val="3"/>
        </w:numPr>
        <w:spacing w:after="60"/>
      </w:pPr>
      <w:r>
        <w:rPr>
          <w:b/>
          <w:bCs/>
        </w:rPr>
        <w:t xml:space="preserve">Erasure in a versioned lake:</w:t>
      </w:r>
      <w:r>
        <w:t xml:space="preserve"> deleting a user means finding them across tables (including clickstream IPs) and expiring older Iceberg snapshots that still contain them.</w:t>
      </w:r>
    </w:p>
    <w:p>
      <w:pPr>
        <w:pStyle w:val="Heading1"/>
      </w:pPr>
      <w:r>
        <w:t xml:space="preserve">9. Milestones</w:t>
      </w:r>
    </w:p>
    <w:p>
      <w:pPr>
        <w:spacing w:after="120"/>
      </w:pPr>
      <w:r>
        <w:t xml:space="preserve">Estimated duration: 6 to 8 weeks part-time for P1 to P6. Each phase ends with a working, demonstrable result.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4433"/>
        <w:gridCol w:w="3856"/>
      </w:tblGrid>
      <w:tr>
        <w:trPr>
          <w:tblHeader/>
        </w:trPr>
        <w:tc>
          <w:tcPr>
            <w:tcW w:type="dxa" w:w="1349"/>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sz w:val="19"/>
                <w:szCs w:val="19"/>
              </w:rPr>
              <w:t xml:space="preserve">Phase</w:t>
            </w:r>
          </w:p>
        </w:tc>
        <w:tc>
          <w:tcPr>
            <w:tcW w:type="dxa" w:w="4433"/>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sz w:val="19"/>
                <w:szCs w:val="19"/>
              </w:rPr>
              <w:t xml:space="preserve">Content</w:t>
            </w:r>
          </w:p>
        </w:tc>
        <w:tc>
          <w:tcPr>
            <w:tcW w:type="dxa" w:w="385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sz w:val="19"/>
                <w:szCs w:val="19"/>
              </w:rPr>
              <w:t xml:space="preserve">Acceptance criterion</w:t>
            </w:r>
          </w:p>
        </w:tc>
      </w:tr>
      <w:tr>
        <w:trPr>
          <w:cantSplit/>
        </w:trPr>
        <w:tc>
          <w:tcPr>
            <w:tcW w:type="dxa" w:w="1349"/>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P1</w:t>
            </w:r>
          </w:p>
        </w:tc>
        <w:tc>
          <w:tcPr>
            <w:tcW w:type="dxa" w:w="443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On-prem stack: Postgres, theLook generator, Kafka, Schema Registry, Kafka Connect with Debezium; heartbeats and slot safeguards; baseline throughput run</w:t>
            </w:r>
          </w:p>
        </w:tc>
        <w:tc>
          <w:tcPr>
            <w:tcW w:type="dxa" w:w="385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Avro change events from all 6 tables visible in their Kafka topics; slot alert tested</w:t>
            </w:r>
          </w:p>
        </w:tc>
      </w:tr>
      <w:tr>
        <w:trPr>
          <w:cantSplit/>
        </w:trPr>
        <w:tc>
          <w:tcPr>
            <w:tcW w:type="dxa" w:w="1349"/>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P2</w:t>
            </w:r>
          </w:p>
        </w:tc>
        <w:tc>
          <w:tcPr>
            <w:tcW w:type="dxa" w:w="443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Bronze on AWS: Terraform (S3, Glue, IAM, Athena), Iceberg sink connector (built from the Iceberg repository), commit interval lowered to about 1 minute</w:t>
            </w:r>
          </w:p>
        </w:tc>
        <w:tc>
          <w:tcPr>
            <w:tcW w:type="dxa" w:w="385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A changed row is queryable in Athena in &lt; 5 minutes</w:t>
            </w:r>
          </w:p>
        </w:tc>
      </w:tr>
      <w:tr>
        <w:trPr>
          <w:cantSplit/>
        </w:trPr>
        <w:tc>
          <w:tcPr>
            <w:tcW w:type="dxa" w:w="1349"/>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P3</w:t>
            </w:r>
          </w:p>
        </w:tc>
        <w:tc>
          <w:tcPr>
            <w:tcW w:type="dxa" w:w="443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dbt incremental silver (MERGE) and gold layers, SCD2, unit tests; Airflow DAG running dbt on a schedule</w:t>
            </w:r>
          </w:p>
        </w:tc>
        <w:tc>
          <w:tcPr>
            <w:tcW w:type="dxa" w:w="385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Row counts reconcile with the source; all dbt tests and unit tests pass; scheduled runs keep gold &lt; 1 hour old</w:t>
            </w:r>
          </w:p>
        </w:tc>
      </w:tr>
      <w:tr>
        <w:trPr>
          <w:cantSplit/>
        </w:trPr>
        <w:tc>
          <w:tcPr>
            <w:tcW w:type="dxa" w:w="1349"/>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P4</w:t>
            </w:r>
          </w:p>
        </w:tc>
        <w:tc>
          <w:tcPr>
            <w:tcW w:type="dxa" w:w="443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ODCS contracts with datacontract-cli, quality checks, alerting, schema evolution drills</w:t>
            </w:r>
          </w:p>
        </w:tc>
        <w:tc>
          <w:tcPr>
            <w:tcW w:type="dxa" w:w="385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An injected schema break is caught and an alert is raised; a compatible column addition flows end to end</w:t>
            </w:r>
          </w:p>
        </w:tc>
      </w:tr>
      <w:tr>
        <w:trPr>
          <w:cantSplit/>
        </w:trPr>
        <w:tc>
          <w:tcPr>
            <w:tcW w:type="dxa" w:w="1349"/>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P5</w:t>
            </w:r>
          </w:p>
        </w:tc>
        <w:tc>
          <w:tcPr>
            <w:tcW w:type="dxa" w:w="443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GDPR erasure and backfill, both as Airflow DAGs; failure drills (FR14)</w:t>
            </w:r>
          </w:p>
        </w:tc>
        <w:tc>
          <w:tcPr>
            <w:tcW w:type="dxa" w:w="385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Erasure verified in every layer, including clickstream and time travel; backfill leaves no duplicates; every drill passes reconciliation</w:t>
            </w:r>
          </w:p>
        </w:tc>
      </w:tr>
      <w:tr>
        <w:trPr>
          <w:cantSplit/>
        </w:trPr>
        <w:tc>
          <w:tcPr>
            <w:tcW w:type="dxa" w:w="1349"/>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P6</w:t>
            </w:r>
          </w:p>
        </w:tc>
        <w:tc>
          <w:tcPr>
            <w:tcW w:type="dxa" w:w="443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Optimisation, load test, CI/CD, ADRs, documentation; optional OpenLineage lineage</w:t>
            </w:r>
          </w:p>
        </w:tc>
        <w:tc>
          <w:tcPr>
            <w:tcW w:type="dxa" w:w="385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Scan cost reduction and throughput limit measured; README, ADRs and runbook complete</w:t>
            </w:r>
          </w:p>
        </w:tc>
      </w:tr>
      <w:tr>
        <w:trPr>
          <w:cantSplit/>
        </w:trPr>
        <w:tc>
          <w:tcPr>
            <w:tcW w:type="dxa" w:w="1349"/>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P7 (optional)</w:t>
            </w:r>
          </w:p>
        </w:tc>
        <w:tc>
          <w:tcPr>
            <w:tcW w:type="dxa" w:w="443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Real-time clickstream: the generator emits events directly to a Kinesis stream (they stop being written to PostgreSQL, so they are not ingested twice) and Managed Flink processes them (sessions, live funnel, late events). Adds AWS-managed streaming practice for the AWS Data Engineer exam</w:t>
            </w:r>
          </w:p>
        </w:tc>
        <w:tc>
          <w:tcPr>
            <w:tcW w:type="dxa" w:w="385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Live conversion funnel updated in &lt; 1 minute; late events handled with watermarks</w:t>
            </w:r>
          </w:p>
        </w:tc>
      </w:tr>
    </w:tbl>
    <w:p>
      <w:pPr>
        <w:spacing w:after="120"/>
      </w:pPr>
    </w:p>
    <w:p>
      <w:pPr>
        <w:spacing w:after="120"/>
      </w:pPr>
      <w:r>
        <w:rPr>
          <w:b/>
          <w:bCs/>
        </w:rPr>
        <w:t xml:space="preserve">Rule:</w:t>
      </w:r>
      <w:r>
        <w:t xml:space="preserve"> finish P1 to P3 before starting anything else. They already form a complete, presentable project. P7 only makes sense once P6 is done.</w:t>
      </w:r>
    </w:p>
    <w:p>
      <w:pPr>
        <w:pStyle w:val="Heading1"/>
      </w:pPr>
      <w:r>
        <w:t xml:space="preserve">10. Deliverables</w:t>
      </w:r>
    </w:p>
    <w:p>
      <w:pPr>
        <w:pStyle w:val="ListParagraph"/>
        <w:numPr>
          <w:ilvl w:val="0"/>
          <w:numId w:val="2"/>
        </w:numPr>
        <w:spacing w:after="60"/>
      </w:pPr>
      <w:r>
        <w:t xml:space="preserve">A public GitHub repository with the code, Terraform, dbt project, data contracts and CI pipeline.</w:t>
      </w:r>
    </w:p>
    <w:p>
      <w:pPr>
        <w:pStyle w:val="ListParagraph"/>
        <w:numPr>
          <w:ilvl w:val="0"/>
          <w:numId w:val="2"/>
        </w:numPr>
        <w:spacing w:after="60"/>
      </w:pPr>
      <w:r>
        <w:t xml:space="preserve">A README with the architecture diagram, design decisions and cost breakdown.</w:t>
      </w:r>
    </w:p>
    <w:p>
      <w:pPr>
        <w:pStyle w:val="ListParagraph"/>
        <w:numPr>
          <w:ilvl w:val="0"/>
          <w:numId w:val="2"/>
        </w:numPr>
        <w:spacing w:after="60"/>
      </w:pPr>
      <w:r>
        <w:t xml:space="preserve">A demo video under 3 minutes: the generator creates and returns an order, and the change reaches the dashboard.</w:t>
      </w:r>
    </w:p>
    <w:p>
      <w:pPr>
        <w:pStyle w:val="ListParagraph"/>
        <w:numPr>
          <w:ilvl w:val="0"/>
          <w:numId w:val="2"/>
        </w:numPr>
        <w:spacing w:after="60"/>
      </w:pPr>
      <w:r>
        <w:t xml:space="preserve">A results page with the real measurements: freshness, throughput limit, scan savings, number of tests, drill results, cost per month.</w:t>
      </w:r>
    </w:p>
    <w:p>
      <w:pPr>
        <w:pStyle w:val="ListParagraph"/>
        <w:numPr>
          <w:ilvl w:val="0"/>
          <w:numId w:val="2"/>
        </w:numPr>
        <w:spacing w:after="60"/>
      </w:pPr>
      <w:r>
        <w:t xml:space="preserve">Architecture decision records (ADRs), one page each, for example: 001 Kafka over Kinesis; 002 Airflow over Step Functions; 003 append-only bronze with MERGE silver; 004 no local lake; 005 SCD2 from the change log instead of dbt snapshots; 006 contracts in ODCS.</w:t>
      </w:r>
    </w:p>
    <w:p>
      <w:pPr>
        <w:pStyle w:val="Heading2"/>
      </w:pPr>
      <w:r>
        <w:t xml:space="preserve">10.1 CV bullets (to complete with measured values)</w:t>
      </w:r>
    </w:p>
    <w:p>
      <w:pPr>
        <w:spacing w:after="120"/>
      </w:pPr>
      <w:r>
        <w:t xml:space="preserve">Only use numbers that were actually measured; interviewers will ask how each one was obtained.</w:t>
      </w:r>
    </w:p>
    <w:p>
      <w:pPr>
        <w:pStyle w:val="ListParagraph"/>
        <w:numPr>
          <w:ilvl w:val="0"/>
          <w:numId w:val="2"/>
        </w:numPr>
        <w:spacing w:after="60"/>
      </w:pPr>
      <w:r>
        <w:t xml:space="preserve">Built a CDC pipeline (Postgres, Debezium, Kafka Connect, Schema Registry, Iceberg on S3) that replaced full nightly reloads, with end-to-end freshness of [X] minutes.</w:t>
      </w:r>
    </w:p>
    <w:p>
      <w:pPr>
        <w:pStyle w:val="ListParagraph"/>
        <w:numPr>
          <w:ilvl w:val="0"/>
          <w:numId w:val="2"/>
        </w:numPr>
        <w:spacing w:after="60"/>
      </w:pPr>
      <w:r>
        <w:t xml:space="preserve">Modelled a star schema with SCD Type 2 user history in dbt, validated by [N] automated tests.</w:t>
      </w:r>
    </w:p>
    <w:p>
      <w:pPr>
        <w:pStyle w:val="ListParagraph"/>
        <w:numPr>
          <w:ilvl w:val="0"/>
          <w:numId w:val="2"/>
        </w:numPr>
        <w:spacing w:after="60"/>
      </w:pPr>
      <w:r>
        <w:t xml:space="preserve">Implemented data contracts that caught [N] injected schema-breaking changes before they reached analytics.</w:t>
      </w:r>
    </w:p>
    <w:p>
      <w:pPr>
        <w:pStyle w:val="ListParagraph"/>
        <w:numPr>
          <w:ilvl w:val="0"/>
          <w:numId w:val="2"/>
        </w:numPr>
        <w:spacing w:after="60"/>
      </w:pPr>
      <w:r>
        <w:t xml:space="preserve">Implemented right-to-erasure across transactional and clickstream data in Iceberg, including snapshot expiry.</w:t>
      </w:r>
    </w:p>
    <w:p>
      <w:pPr>
        <w:pStyle w:val="ListParagraph"/>
        <w:numPr>
          <w:ilvl w:val="0"/>
          <w:numId w:val="2"/>
        </w:numPr>
        <w:spacing w:after="60"/>
      </w:pPr>
      <w:r>
        <w:t xml:space="preserve">Reduced Athena scan cost by [X]% through incremental MERGE models, partitioning and compaction.</w:t>
      </w:r>
    </w:p>
    <w:p>
      <w:pPr>
        <w:pStyle w:val="ListParagraph"/>
        <w:numPr>
          <w:ilvl w:val="0"/>
          <w:numId w:val="2"/>
        </w:numPr>
        <w:spacing w:after="60"/>
      </w:pPr>
      <w:r>
        <w:t xml:space="preserve">Validated fault tolerance with [N] scripted failure drills (connector crash, broker restart, offset replay), all reconciling with 0 lost and 0 duplicated rows.</w:t>
      </w:r>
    </w:p>
    <w:p>
      <w:pPr>
        <w:pStyle w:val="ListParagraph"/>
        <w:numPr>
          <w:ilvl w:val="0"/>
          <w:numId w:val="2"/>
        </w:numPr>
        <w:spacing w:after="60"/>
      </w:pPr>
      <w:r>
        <w:t xml:space="preserve">Sustained [X] change events per second with consumer lag under [Y] seconds.</w:t>
      </w:r>
    </w:p>
    <w:p>
      <w:pPr>
        <w:pStyle w:val="Heading1"/>
      </w:pPr>
      <w:r>
        <w:t xml:space="preserve">11. Budget</w:t>
      </w:r>
    </w:p>
    <w:p>
      <w:pPr>
        <w:keepNext/>
        <w:spacing w:after="120"/>
      </w:pPr>
      <w:r>
        <w:t xml:space="preserve">Estimates at demo volume, based on AWS prices in us-east-1 as of September 2026. Real costs must be checked in AWS Cost Explorer.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373"/>
        <w:gridCol w:w="3374"/>
      </w:tblGrid>
      <w:tr>
        <w:trPr>
          <w:tblHeader/>
        </w:trPr>
        <w:tc>
          <w:tcPr>
            <w:tcW w:type="dxa" w:w="2891"/>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sz w:val="19"/>
                <w:szCs w:val="19"/>
              </w:rPr>
              <w:t xml:space="preserve">Service</w:t>
            </w:r>
          </w:p>
        </w:tc>
        <w:tc>
          <w:tcPr>
            <w:tcW w:type="dxa" w:w="3373"/>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sz w:val="19"/>
                <w:szCs w:val="19"/>
              </w:rPr>
              <w:t xml:space="preserve">Usage</w:t>
            </w:r>
          </w:p>
        </w:tc>
        <w:tc>
          <w:tcPr>
            <w:tcW w:type="dxa" w:w="3374"/>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sz w:val="19"/>
                <w:szCs w:val="19"/>
              </w:rPr>
              <w:t xml:space="preserve">Estimated cost</w:t>
            </w:r>
          </w:p>
        </w:tc>
      </w:tr>
      <w:tr>
        <w:trPr>
          <w:cantSplit/>
        </w:trPr>
        <w:tc>
          <w:tcPr>
            <w:tcW w:type="dxa" w:w="289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Kafka, Kafka Connect, Schema Registry</w:t>
            </w:r>
          </w:p>
        </w:tc>
        <w:tc>
          <w:tcPr>
            <w:tcW w:type="dxa" w:w="337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Self-hosted in Docker on the local machine</w:t>
            </w:r>
          </w:p>
        </w:tc>
        <w:tc>
          <w:tcPr>
            <w:tcW w:type="dxa" w:w="337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$0</w:t>
            </w:r>
          </w:p>
        </w:tc>
      </w:tr>
      <w:tr>
        <w:trPr>
          <w:cantSplit/>
        </w:trPr>
        <w:tc>
          <w:tcPr>
            <w:tcW w:type="dxa" w:w="289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S3 requests from the Iceberg sink</w:t>
            </w:r>
          </w:p>
        </w:tc>
        <w:tc>
          <w:tcPr>
            <w:tcW w:type="dxa" w:w="337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One commit per minute during work sessions</w:t>
            </w:r>
          </w:p>
        </w:tc>
        <w:tc>
          <w:tcPr>
            <w:tcW w:type="dxa" w:w="337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Cents</w:t>
            </w:r>
          </w:p>
        </w:tc>
      </w:tr>
      <w:tr>
        <w:trPr>
          <w:cantSplit/>
        </w:trPr>
        <w:tc>
          <w:tcPr>
            <w:tcW w:type="dxa" w:w="289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S3 + Glue Catalog</w:t>
            </w:r>
          </w:p>
        </w:tc>
        <w:tc>
          <w:tcPr>
            <w:tcW w:type="dxa" w:w="337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A few GB stored</w:t>
            </w:r>
          </w:p>
        </w:tc>
        <w:tc>
          <w:tcPr>
            <w:tcW w:type="dxa" w:w="337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Under $1</w:t>
            </w:r>
          </w:p>
        </w:tc>
      </w:tr>
      <w:tr>
        <w:trPr>
          <w:cantSplit/>
        </w:trPr>
        <w:tc>
          <w:tcPr>
            <w:tcW w:type="dxa" w:w="289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Athena</w:t>
            </w:r>
          </w:p>
        </w:tc>
        <w:tc>
          <w:tcPr>
            <w:tcW w:type="dxa" w:w="337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$5 per TB scanned, with a per-query scan limit</w:t>
            </w:r>
          </w:p>
        </w:tc>
        <w:tc>
          <w:tcPr>
            <w:tcW w:type="dxa" w:w="337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Under $1</w:t>
            </w:r>
          </w:p>
        </w:tc>
      </w:tr>
      <w:tr>
        <w:trPr>
          <w:cantSplit/>
        </w:trPr>
        <w:tc>
          <w:tcPr>
            <w:tcW w:type="dxa" w:w="289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Apache Airflow</w:t>
            </w:r>
          </w:p>
        </w:tc>
        <w:tc>
          <w:tcPr>
            <w:tcW w:type="dxa" w:w="337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Self-hosted in Docker on the local machine</w:t>
            </w:r>
          </w:p>
        </w:tc>
        <w:tc>
          <w:tcPr>
            <w:tcW w:type="dxa" w:w="337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$0</w:t>
            </w:r>
          </w:p>
        </w:tc>
      </w:tr>
      <w:tr>
        <w:trPr>
          <w:cantSplit/>
        </w:trPr>
        <w:tc>
          <w:tcPr>
            <w:tcW w:type="dxa" w:w="289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CloudWatch</w:t>
            </w:r>
          </w:p>
        </w:tc>
        <w:tc>
          <w:tcPr>
            <w:tcW w:type="dxa" w:w="337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A few alarms and metrics</w:t>
            </w:r>
          </w:p>
        </w:tc>
        <w:tc>
          <w:tcPr>
            <w:tcW w:type="dxa" w:w="337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Near zero</w:t>
            </w:r>
          </w:p>
        </w:tc>
      </w:tr>
      <w:tr>
        <w:trPr>
          <w:cantSplit/>
        </w:trPr>
        <w:tc>
          <w:tcPr>
            <w:tcW w:type="dxa" w:w="289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Kinesis + Managed Flink (P7 only)</w:t>
            </w:r>
          </w:p>
        </w:tc>
        <w:tc>
          <w:tcPr>
            <w:tcW w:type="dxa" w:w="337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1 shard ($0.015/hour) + 2 KPUs at $0.11/hour, only while running</w:t>
            </w:r>
          </w:p>
        </w:tc>
        <w:tc>
          <w:tcPr>
            <w:tcW w:type="dxa" w:w="337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About $0.24 per hour of use; must be stopped after each session</w:t>
            </w:r>
          </w:p>
        </w:tc>
      </w:tr>
      <w:tr>
        <w:trPr>
          <w:cantSplit/>
        </w:trPr>
        <w:tc>
          <w:tcPr>
            <w:tcW w:type="dxa" w:w="289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MSK (not used)</w:t>
            </w:r>
          </w:p>
        </w:tc>
        <w:tc>
          <w:tcPr>
            <w:tcW w:type="dxa" w:w="337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Smallest provisioned cluster, for reference</w:t>
            </w:r>
          </w:p>
        </w:tc>
        <w:tc>
          <w:tcPr>
            <w:tcW w:type="dxa" w:w="337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Under $2.50/day; MSK Serverless about $0.75/hour</w:t>
            </w:r>
          </w:p>
        </w:tc>
      </w:tr>
      <w:tr>
        <w:trPr>
          <w:cantSplit/>
        </w:trPr>
        <w:tc>
          <w:tcPr>
            <w:tcW w:type="dxa" w:w="289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Development</w:t>
            </w:r>
          </w:p>
        </w:tc>
        <w:tc>
          <w:tcPr>
            <w:tcW w:type="dxa" w:w="337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On-prem stack in Docker; dbt runs on Athena in a dev schema</w:t>
            </w:r>
          </w:p>
        </w:tc>
        <w:tc>
          <w:tcPr>
            <w:tcW w:type="dxa" w:w="337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Cents</w:t>
            </w:r>
          </w:p>
        </w:tc>
      </w:tr>
    </w:tbl>
    <w:p>
      <w:pPr>
        <w:spacing w:after="120"/>
      </w:pPr>
    </w:p>
    <w:p>
      <w:pPr>
        <w:spacing w:after="120"/>
      </w:pPr>
      <w:r>
        <w:t xml:space="preserve">The generator's event rate drives volume and cost. Keep it low on AWS and raise it only for load tests.</w:t>
      </w:r>
    </w:p>
    <w:p>
      <w:pPr>
        <w:pStyle w:val="Heading1"/>
      </w:pPr>
      <w:r>
        <w:t xml:space="preserve">12. 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tblHeader/>
        </w:trPr>
        <w:tc>
          <w:tcPr>
            <w:tcW w:type="dxa" w:w="3373"/>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sz w:val="19"/>
                <w:szCs w:val="19"/>
              </w:rPr>
              <w:t xml:space="preserve">Risk</w:t>
            </w:r>
          </w:p>
        </w:tc>
        <w:tc>
          <w:tcPr>
            <w:tcW w:type="dxa" w:w="6265"/>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sz w:val="19"/>
                <w:szCs w:val="19"/>
              </w:rPr>
              <w:t xml:space="preserve">Mitigation</w:t>
            </w:r>
          </w:p>
        </w:tc>
      </w:tr>
      <w:tr>
        <w:trPr>
          <w:cantSplit/>
        </w:trPr>
        <w:tc>
          <w:tcPr>
            <w:tcW w:type="dxa" w:w="337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Unexpected AWS bill</w:t>
            </w:r>
          </w:p>
        </w:tc>
        <w:tc>
          <w:tcPr>
            <w:tcW w:type="dxa" w:w="6265"/>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Develop locally; deploy only for work sessions; budget alarm; terraform destroy after each session</w:t>
            </w:r>
          </w:p>
        </w:tc>
      </w:tr>
      <w:tr>
        <w:trPr>
          <w:cantSplit/>
        </w:trPr>
        <w:tc>
          <w:tcPr>
            <w:tcW w:type="dxa" w:w="337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Scope creep</w:t>
            </w:r>
          </w:p>
        </w:tc>
        <w:tc>
          <w:tcPr>
            <w:tcW w:type="dxa" w:w="6265"/>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Finish P1 to P3 before adding anything else</w:t>
            </w:r>
          </w:p>
        </w:tc>
      </w:tr>
      <w:tr>
        <w:trPr>
          <w:cantSplit/>
        </w:trPr>
        <w:tc>
          <w:tcPr>
            <w:tcW w:type="dxa" w:w="337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Generator folder carries a different licence from the repository (Apache 2.0)</w:t>
            </w:r>
          </w:p>
        </w:tc>
        <w:tc>
          <w:tcPr>
            <w:tcW w:type="dxa" w:w="6265"/>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Check before reuse; otherwise write an equivalent generator on the same schema (about one week)</w:t>
            </w:r>
          </w:p>
        </w:tc>
      </w:tr>
      <w:tr>
        <w:trPr>
          <w:cantSplit/>
        </w:trPr>
        <w:tc>
          <w:tcPr>
            <w:tcW w:type="dxa" w:w="337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Generator schema changes or stops being maintained</w:t>
            </w:r>
          </w:p>
        </w:tc>
        <w:tc>
          <w:tcPr>
            <w:tcW w:type="dxa" w:w="6265"/>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Pin a specific version; data contracts detect any schema drift</w:t>
            </w:r>
          </w:p>
        </w:tc>
      </w:tr>
      <w:tr>
        <w:trPr>
          <w:cantSplit/>
        </w:trPr>
        <w:tc>
          <w:tcPr>
            <w:tcW w:type="dxa" w:w="337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Kafka Connect configuration friction (converters, Avro, plugins)</w:t>
            </w:r>
          </w:p>
        </w:tc>
        <w:tc>
          <w:tcPr>
            <w:tcW w:type="dxa" w:w="6265"/>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Validate topics, Avro schemas and offsets on the on-prem stack before connecting the Iceberg sink to AWS</w:t>
            </w:r>
          </w:p>
        </w:tc>
      </w:tr>
      <w:tr>
        <w:trPr>
          <w:cantSplit/>
        </w:trPr>
        <w:tc>
          <w:tcPr>
            <w:tcW w:type="dxa" w:w="337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Iceberg sink must be built from source</w:t>
            </w:r>
          </w:p>
        </w:tc>
        <w:tc>
          <w:tcPr>
            <w:tcW w:type="dxa" w:w="6265"/>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Build it once in a Dockerfile and pin the Iceberg version</w:t>
            </w:r>
          </w:p>
        </w:tc>
      </w:tr>
      <w:tr>
        <w:trPr>
          <w:cantSplit/>
        </w:trPr>
        <w:tc>
          <w:tcPr>
            <w:tcW w:type="dxa" w:w="337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Laptop resources (Kafka, Connect, Registry, Postgres, Airflow at once)</w:t>
            </w:r>
          </w:p>
        </w:tc>
        <w:tc>
          <w:tcPr>
            <w:tcW w:type="dxa" w:w="6265"/>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Single-broker KRaft, small JVM heaps, Airflow with LocalExecutor, stop services not in use</w:t>
            </w:r>
          </w:p>
        </w:tc>
      </w:tr>
      <w:tr>
        <w:trPr>
          <w:cantSplit/>
        </w:trPr>
        <w:tc>
          <w:tcPr>
            <w:tcW w:type="dxa" w:w="337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dbt unit tests not supported by the Athena adapter</w:t>
            </w:r>
          </w:p>
        </w:tc>
        <w:tc>
          <w:tcPr>
            <w:tcW w:type="dxa" w:w="6265"/>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Run unit tests against a DuckDB target, since they only use fixed input rows and no lake data</w:t>
            </w:r>
          </w:p>
        </w:tc>
      </w:tr>
      <w:tr>
        <w:trPr>
          <w:cantSplit/>
        </w:trPr>
        <w:tc>
          <w:tcPr>
            <w:tcW w:type="dxa" w:w="337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Kafka Connect exactly-once has known caveats</w:t>
            </w:r>
          </w:p>
        </w:tc>
        <w:tc>
          <w:tcPr>
            <w:tcW w:type="dxa" w:w="6265"/>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Keep LSN deduplication in silver; prove correctness with the replay drill</w:t>
            </w:r>
          </w:p>
        </w:tc>
      </w:tr>
      <w:tr>
        <w:trPr>
          <w:cantSplit/>
        </w:trPr>
        <w:tc>
          <w:tcPr>
            <w:tcW w:type="dxa" w:w="337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Synthetic data gives meaningless business insights</w:t>
            </w:r>
          </w:p>
        </w:tc>
        <w:tc>
          <w:tcPr>
            <w:tcW w:type="dxa" w:w="6265"/>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Present the project on its engineering results (freshness, correctness, cost), not on business findings</w:t>
            </w:r>
          </w:p>
        </w:tc>
      </w:tr>
    </w:tbl>
    <w:p>
      <w:pPr>
        <w:pStyle w:val="Heading1"/>
      </w:pPr>
      <w:r>
        <w:t xml:space="preserve">13. Working with Claude Code</w:t>
      </w:r>
    </w:p>
    <w:p>
      <w:pPr>
        <w:spacing w:after="120"/>
      </w:pPr>
      <w:r>
        <w:t xml:space="preserve">The project is built with the help of Claude Code. Its purpose is for the author to </w:t>
      </w:r>
      <w:r>
        <w:rPr>
          <w:b/>
          <w:bCs/>
        </w:rPr>
        <w:t xml:space="preserve">learn</w:t>
      </w:r>
      <w:r>
        <w:t xml:space="preserve"> data engineering. Claude Code may design and write all of the code, but Souhail must understand everything it did and why it did it. This section is written for Claude Code and sets the rules it must follow. The same rules are saved in a CLAUDE.md file at the root of the repository, which Claude Code reads automatically at the start of every session.</w:t>
      </w:r>
    </w:p>
    <w:p>
      <w:pPr>
        <w:pStyle w:val="Heading2"/>
      </w:pPr>
      <w:r>
        <w:t xml:space="preserve">13.1 Principle</w:t>
      </w:r>
    </w:p>
    <w:p>
      <w:pPr>
        <w:spacing w:after="120"/>
      </w:pPr>
      <w:r>
        <w:rPr>
          <w:b/>
          <w:bCs/>
        </w:rPr>
        <w:t xml:space="preserve">Claude Code may make the decisions and write the code. Souhail must be able to explain every decision and every line.</w:t>
      </w:r>
      <w:r>
        <w:t xml:space="preserve"> Work that Souhail cannot explain in an interview does not count as done, even if it works.</w:t>
      </w:r>
    </w:p>
    <w:p>
      <w:pPr>
        <w:pStyle w:val="Heading2"/>
      </w:pPr>
      <w:r>
        <w:t xml:space="preserve">13.2 Rules for Claude Code</w:t>
      </w:r>
    </w:p>
    <w:p>
      <w:pPr>
        <w:pStyle w:val="ListParagraph"/>
        <w:numPr>
          <w:ilvl w:val="0"/>
          <w:numId w:val="4"/>
        </w:numPr>
        <w:spacing w:after="60"/>
      </w:pPr>
      <w:r>
        <w:rPr>
          <w:b/>
          <w:bCs/>
        </w:rPr>
        <w:t xml:space="preserve">Explain every decision.</w:t>
      </w:r>
      <w:r>
        <w:t xml:space="preserve"> For each design choice (tool, configuration value, schema, data model, partitioning, naming, trade-off), state what was decided, which alternatives were considered, and why this option was chosen. Do this at the moment the decision is made, not at the end.</w:t>
      </w:r>
    </w:p>
    <w:p>
      <w:pPr>
        <w:pStyle w:val="ListParagraph"/>
        <w:numPr>
          <w:ilvl w:val="0"/>
          <w:numId w:val="4"/>
        </w:numPr>
        <w:spacing w:after="60"/>
      </w:pPr>
      <w:r>
        <w:rPr>
          <w:b/>
          <w:bCs/>
        </w:rPr>
        <w:t xml:space="preserve">Ask only when the cahier des charges would change.</w:t>
      </w:r>
      <w:r>
        <w:t xml:space="preserve"> Decisions inside the specification can be taken directly and explained. A decision that changes the architecture, scope or objectives in this document is proposed with its options and reasoning, and waits for Souhail's approval.</w:t>
      </w:r>
    </w:p>
    <w:p>
      <w:pPr>
        <w:pStyle w:val="ListParagraph"/>
        <w:numPr>
          <w:ilvl w:val="0"/>
          <w:numId w:val="4"/>
        </w:numPr>
        <w:spacing w:after="60"/>
      </w:pPr>
      <w:r>
        <w:rPr>
          <w:b/>
          <w:bCs/>
        </w:rPr>
        <w:t xml:space="preserve">Explain every change.</w:t>
      </w:r>
      <w:r>
        <w:t xml:space="preserve"> After each step, summarise what was built, how the pieces connect, and what each non-trivial configuration setting or piece of logic does, why it is needed, and what would break without it.</w:t>
      </w:r>
    </w:p>
    <w:p>
      <w:pPr>
        <w:pStyle w:val="ListParagraph"/>
        <w:numPr>
          <w:ilvl w:val="0"/>
          <w:numId w:val="4"/>
        </w:numPr>
        <w:spacing w:after="60"/>
      </w:pPr>
      <w:r>
        <w:rPr>
          <w:b/>
          <w:bCs/>
        </w:rPr>
        <w:t xml:space="preserve">Check understanding, not just delivery.</w:t>
      </w:r>
      <w:r>
        <w:t xml:space="preserve"> After each important step, ask Souhail one or two short questions or ask him to explain the step back in his own words. Correct misunderstandings before moving on.</w:t>
      </w:r>
    </w:p>
    <w:p>
      <w:pPr>
        <w:pStyle w:val="ListParagraph"/>
        <w:numPr>
          <w:ilvl w:val="0"/>
          <w:numId w:val="4"/>
        </w:numPr>
        <w:spacing w:after="60"/>
      </w:pPr>
      <w:r>
        <w:rPr>
          <w:b/>
          <w:bCs/>
        </w:rPr>
        <w:t xml:space="preserve">Go deeper on request.</w:t>
      </w:r>
      <w:r>
        <w:t xml:space="preserve"> Whenever Souhail asks "why", give the full reasoning, including the underlying concept, and point to the relevant documentation.</w:t>
      </w:r>
    </w:p>
    <w:p>
      <w:pPr>
        <w:pStyle w:val="ListParagraph"/>
        <w:numPr>
          <w:ilvl w:val="0"/>
          <w:numId w:val="4"/>
        </w:numPr>
        <w:spacing w:after="60"/>
      </w:pPr>
      <w:r>
        <w:rPr>
          <w:b/>
          <w:bCs/>
        </w:rPr>
        <w:t xml:space="preserve">Record decisions as ADRs.</w:t>
      </w:r>
      <w:r>
        <w:t xml:space="preserve"> After each significant decision, write an architecture decision record in docs/adr/ (context, options, decision, consequences). Souhail reads and approves each ADR, and asks about anything unclear.</w:t>
      </w:r>
    </w:p>
    <w:p>
      <w:pPr>
        <w:pStyle w:val="ListParagraph"/>
        <w:numPr>
          <w:ilvl w:val="0"/>
          <w:numId w:val="4"/>
        </w:numPr>
        <w:spacing w:after="60"/>
      </w:pPr>
      <w:r>
        <w:rPr>
          <w:b/>
          <w:bCs/>
        </w:rPr>
        <w:t xml:space="preserve">Explain failures.</w:t>
      </w:r>
      <w:r>
        <w:t xml:space="preserve"> When something breaks, show the symptom, how the cause was found, and why the fix works, so that Souhail learns the debugging method and not only the fix.</w:t>
      </w:r>
    </w:p>
    <w:p>
      <w:pPr>
        <w:pStyle w:val="ListParagraph"/>
        <w:numPr>
          <w:ilvl w:val="0"/>
          <w:numId w:val="4"/>
        </w:numPr>
        <w:spacing w:after="60"/>
      </w:pPr>
      <w:r>
        <w:rPr>
          <w:b/>
          <w:bCs/>
        </w:rPr>
        <w:t xml:space="preserve">Checkpoint at the end of each phase.</w:t>
      </w:r>
      <w:r>
        <w:t xml:space="preserve"> Ask three to five interview-style questions about the phase just finished (section 13.4). Gaps are closed before the next phase starts.</w:t>
      </w:r>
    </w:p>
    <w:p>
      <w:pPr>
        <w:pStyle w:val="ListParagraph"/>
        <w:numPr>
          <w:ilvl w:val="0"/>
          <w:numId w:val="4"/>
        </w:numPr>
        <w:spacing w:after="60"/>
      </w:pPr>
      <w:r>
        <w:rPr>
          <w:b/>
          <w:bCs/>
        </w:rPr>
        <w:t xml:space="preserve">Keep a learning log.</w:t>
      </w:r>
      <w:r>
        <w:t xml:space="preserve"> Maintain docs/learning-log.md with the concepts covered, decisions taken and open questions from each session.</w:t>
      </w:r>
    </w:p>
    <w:p>
      <w:pPr>
        <w:pStyle w:val="ListParagraph"/>
        <w:numPr>
          <w:ilvl w:val="0"/>
          <w:numId w:val="4"/>
        </w:numPr>
        <w:spacing w:after="60"/>
      </w:pPr>
      <w:r>
        <w:rPr>
          <w:b/>
          <w:bCs/>
        </w:rPr>
        <w:t xml:space="preserve">One step at a time.</w:t>
      </w:r>
      <w:r>
        <w:t xml:space="preserve"> Work in small increments and small commits with clear messages. Souhail must be able to explain every commit in an interview.</w:t>
      </w:r>
    </w:p>
    <w:p>
      <w:pPr>
        <w:pStyle w:val="Heading2"/>
      </w:pPr>
      <w:r>
        <w:t xml:space="preserve">13.3 Who does what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3181"/>
        <w:gridCol w:w="3180"/>
      </w:tblGrid>
      <w:tr>
        <w:trPr>
          <w:tblHeader/>
        </w:trPr>
        <w:tc>
          <w:tcPr>
            <w:tcW w:type="dxa" w:w="3277"/>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sz w:val="19"/>
                <w:szCs w:val="19"/>
              </w:rPr>
              <w:t xml:space="preserve">Type of work</w:t>
            </w:r>
          </w:p>
        </w:tc>
        <w:tc>
          <w:tcPr>
            <w:tcW w:type="dxa" w:w="3181"/>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sz w:val="19"/>
                <w:szCs w:val="19"/>
              </w:rPr>
              <w:t xml:space="preserve">Claude Code</w:t>
            </w:r>
          </w:p>
        </w:tc>
        <w:tc>
          <w:tcPr>
            <w:tcW w:type="dxa" w:w="3180"/>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sz w:val="19"/>
                <w:szCs w:val="19"/>
              </w:rPr>
              <w:t xml:space="preserve">Souhail</w:t>
            </w:r>
          </w:p>
        </w:tc>
      </w:tr>
      <w:tr>
        <w:trPr>
          <w:cantSplit/>
        </w:trPr>
        <w:tc>
          <w:tcPr>
            <w:tcW w:type="dxa" w:w="327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Architecture within the specification</w:t>
            </w:r>
          </w:p>
        </w:tc>
        <w:tc>
          <w:tcPr>
            <w:tcW w:type="dxa" w:w="318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Decides and explains the reasoning</w:t>
            </w:r>
          </w:p>
        </w:tc>
        <w:tc>
          <w:tcPr>
            <w:tcW w:type="dxa" w:w="318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Understands and can challenge any choice</w:t>
            </w:r>
          </w:p>
        </w:tc>
      </w:tr>
      <w:tr>
        <w:trPr>
          <w:cantSplit/>
        </w:trPr>
        <w:tc>
          <w:tcPr>
            <w:tcW w:type="dxa" w:w="327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Changes to the cahier des charges</w:t>
            </w:r>
          </w:p>
        </w:tc>
        <w:tc>
          <w:tcPr>
            <w:tcW w:type="dxa" w:w="318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Proposes options with trade-offs</w:t>
            </w:r>
          </w:p>
        </w:tc>
        <w:tc>
          <w:tcPr>
            <w:tcW w:type="dxa" w:w="318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Approves or rejects</w:t>
            </w:r>
          </w:p>
        </w:tc>
      </w:tr>
      <w:tr>
        <w:trPr>
          <w:cantSplit/>
        </w:trPr>
        <w:tc>
          <w:tcPr>
            <w:tcW w:type="dxa" w:w="327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Code, configuration, dbt models, DAGs, Terraform</w:t>
            </w:r>
          </w:p>
        </w:tc>
        <w:tc>
          <w:tcPr>
            <w:tcW w:type="dxa" w:w="318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Writes and explains</w:t>
            </w:r>
          </w:p>
        </w:tc>
        <w:tc>
          <w:tcPr>
            <w:tcW w:type="dxa" w:w="318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Reads, asks questions, explains it back</w:t>
            </w:r>
          </w:p>
        </w:tc>
      </w:tr>
      <w:tr>
        <w:trPr>
          <w:cantSplit/>
        </w:trPr>
        <w:tc>
          <w:tcPr>
            <w:tcW w:type="dxa" w:w="327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ADRs and learning log</w:t>
            </w:r>
          </w:p>
        </w:tc>
        <w:tc>
          <w:tcPr>
            <w:tcW w:type="dxa" w:w="318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Writes</w:t>
            </w:r>
          </w:p>
        </w:tc>
        <w:tc>
          <w:tcPr>
            <w:tcW w:type="dxa" w:w="318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Reviews and approves</w:t>
            </w:r>
          </w:p>
        </w:tc>
      </w:tr>
      <w:tr>
        <w:trPr>
          <w:cantSplit/>
        </w:trPr>
        <w:tc>
          <w:tcPr>
            <w:tcW w:type="dxa" w:w="327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Debugging</w:t>
            </w:r>
          </w:p>
        </w:tc>
        <w:tc>
          <w:tcPr>
            <w:tcW w:type="dxa" w:w="318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Diagnoses and fixes, showing the method</w:t>
            </w:r>
          </w:p>
        </w:tc>
        <w:tc>
          <w:tcPr>
            <w:tcW w:type="dxa" w:w="318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Follows the reasoning</w:t>
            </w:r>
          </w:p>
        </w:tc>
      </w:tr>
      <w:tr>
        <w:trPr>
          <w:cantSplit/>
        </w:trPr>
        <w:tc>
          <w:tcPr>
            <w:tcW w:type="dxa" w:w="327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Phase checkpoints</w:t>
            </w:r>
          </w:p>
        </w:tc>
        <w:tc>
          <w:tcPr>
            <w:tcW w:type="dxa" w:w="318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Asks the questions</w:t>
            </w:r>
          </w:p>
        </w:tc>
        <w:tc>
          <w:tcPr>
            <w:tcW w:type="dxa" w:w="318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Answers without looking at the code</w:t>
            </w:r>
          </w:p>
        </w:tc>
      </w:tr>
    </w:tbl>
    <w:p>
      <w:pPr>
        <w:spacing w:after="120"/>
      </w:pPr>
    </w:p>
    <w:p>
      <w:pPr>
        <w:pStyle w:val="Heading2"/>
      </w:pPr>
      <w:r>
        <w:t xml:space="preserve">13.4 Phase checkpoints</w:t>
      </w:r>
    </w:p>
    <w:p>
      <w:pPr>
        <w:spacing w:after="120"/>
      </w:pPr>
      <w:r>
        <w:t xml:space="preserve">Examples of questions Claude Code asks at the end of each phase. Souhail answers without looking at the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8481"/>
      </w:tblGrid>
      <w:tr>
        <w:trPr>
          <w:tblHeader/>
        </w:trPr>
        <w:tc>
          <w:tcPr>
            <w:tcW w:type="dxa" w:w="1157"/>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sz w:val="19"/>
                <w:szCs w:val="19"/>
              </w:rPr>
              <w:t xml:space="preserve">Phase</w:t>
            </w:r>
          </w:p>
        </w:tc>
        <w:tc>
          <w:tcPr>
            <w:tcW w:type="dxa" w:w="8481"/>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sz w:val="19"/>
                <w:szCs w:val="19"/>
              </w:rPr>
              <w:t xml:space="preserve">Example questions</w:t>
            </w:r>
          </w:p>
        </w:tc>
      </w:tr>
      <w:tr>
        <w:trPr>
          <w:cantSplit/>
        </w:trPr>
        <w:tc>
          <w:tcPr>
            <w:tcW w:type="dxa" w:w="115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P1</w:t>
            </w:r>
          </w:p>
        </w:tc>
        <w:tc>
          <w:tcPr>
            <w:tcW w:type="dxa" w:w="848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Why must topics be keyed by primary key? What happens to Postgres if Debezium stops for a day? What does a heartbeat actually write, and why?</w:t>
            </w:r>
          </w:p>
        </w:tc>
      </w:tr>
      <w:tr>
        <w:trPr>
          <w:cantSplit/>
        </w:trPr>
        <w:tc>
          <w:tcPr>
            <w:tcW w:type="dxa" w:w="115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P2</w:t>
            </w:r>
          </w:p>
        </w:tc>
        <w:tc>
          <w:tcPr>
            <w:tcW w:type="dxa" w:w="848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Why is bronze append-only? What does the commit interval trade off? Which IAM permissions does the Connect worker need, and why no more?</w:t>
            </w:r>
          </w:p>
        </w:tc>
      </w:tr>
      <w:tr>
        <w:trPr>
          <w:cantSplit/>
        </w:trPr>
        <w:tc>
          <w:tcPr>
            <w:tcW w:type="dxa" w:w="115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P3</w:t>
            </w:r>
          </w:p>
        </w:tc>
        <w:tc>
          <w:tcPr>
            <w:tcW w:type="dxa" w:w="848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How does the MERGE model handle a row updated twice in the same batch? How are deletes applied? Why SCD2 from the log rather than dbt snapshots?</w:t>
            </w:r>
          </w:p>
        </w:tc>
      </w:tr>
      <w:tr>
        <w:trPr>
          <w:cantSplit/>
        </w:trPr>
        <w:tc>
          <w:tcPr>
            <w:tcW w:type="dxa" w:w="115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P4</w:t>
            </w:r>
          </w:p>
        </w:tc>
        <w:tc>
          <w:tcPr>
            <w:tcW w:type="dxa" w:w="848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What is the difference between a Schema Registry compatibility rule and a data contract? Which change is blocked where?</w:t>
            </w:r>
          </w:p>
        </w:tc>
      </w:tr>
      <w:tr>
        <w:trPr>
          <w:cantSplit/>
        </w:trPr>
        <w:tc>
          <w:tcPr>
            <w:tcW w:type="dxa" w:w="115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P5</w:t>
            </w:r>
          </w:p>
        </w:tc>
        <w:tc>
          <w:tcPr>
            <w:tcW w:type="dxa" w:w="848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Where can a deleted user's data still exist after the DELETE statements, and how is each place cleaned? How do you prove a backfill created no duplicates?</w:t>
            </w:r>
          </w:p>
        </w:tc>
      </w:tr>
      <w:tr>
        <w:trPr>
          <w:cantSplit/>
        </w:trPr>
        <w:tc>
          <w:tcPr>
            <w:tcW w:type="dxa" w:w="115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P6</w:t>
            </w:r>
          </w:p>
        </w:tc>
        <w:tc>
          <w:tcPr>
            <w:tcW w:type="dxa" w:w="848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Where did the scan-cost savings come from? Where is the throughput limit, and which component hits it first?</w:t>
            </w:r>
          </w:p>
        </w:tc>
      </w:tr>
    </w:tbl>
    <w:p>
      <w:pPr>
        <w:spacing w:after="120"/>
      </w:pPr>
    </w:p>
    <w:p>
      <w:pPr>
        <w:pStyle w:val="Heading2"/>
      </w:pPr>
      <w:r>
        <w:t xml:space="preserve">13.5 CLAUDE.md</w:t>
      </w:r>
    </w:p>
    <w:p>
      <w:pPr>
        <w:spacing w:after="120"/>
      </w:pPr>
      <w:r>
        <w:t xml:space="preserve">The rules above are saved as CLAUDE.md at the root of the repository. Keep it short and update it when the working agreement changes.</w:t>
      </w:r>
    </w:p>
    <w:p>
      <w:pPr>
        <w:pStyle w:val="Heading1"/>
      </w:pPr>
      <w:r>
        <w:t xml:space="preserve">14. Sources consulted</w:t>
      </w:r>
    </w:p>
    <w:p>
      <w:pPr>
        <w:keepNext/>
        <w:spacing w:after="120"/>
      </w:pPr>
      <w:r>
        <w:t xml:space="preserve">Online research carried out for version 1.4 (September 2026).</w:t>
      </w:r>
    </w:p>
    <w:p>
      <w:pPr>
        <w:pStyle w:val="ListParagraph"/>
        <w:numPr>
          <w:ilvl w:val="0"/>
          <w:numId w:val="2"/>
        </w:numPr>
        <w:spacing w:after="60"/>
      </w:pPr>
      <w:r>
        <w:t xml:space="preserve">Gunnar Morling, Mastering Postgres Replication Slots: morling.dev/blog/mastering-postgres-replication-slots</w:t>
      </w:r>
    </w:p>
    <w:p>
      <w:pPr>
        <w:pStyle w:val="ListParagraph"/>
        <w:numPr>
          <w:ilvl w:val="0"/>
          <w:numId w:val="2"/>
        </w:numPr>
        <w:spacing w:after="60"/>
      </w:pPr>
      <w:r>
        <w:t xml:space="preserve">BigData Boutique, Debezium in Production: PostgreSQL to Kafka to Iceberg: bigdataboutique.com/blog/debezium-production-cdc-patterns</w:t>
      </w:r>
    </w:p>
    <w:p>
      <w:pPr>
        <w:pStyle w:val="ListParagraph"/>
        <w:numPr>
          <w:ilvl w:val="0"/>
          <w:numId w:val="2"/>
        </w:numPr>
        <w:spacing w:after="60"/>
      </w:pPr>
      <w:r>
        <w:t xml:space="preserve">DBA Globe, Preventing PostgreSQL Replication Lag with Debezium Heartbeat (March 2026): dbaglobe.com</w:t>
      </w:r>
    </w:p>
    <w:p>
      <w:pPr>
        <w:pStyle w:val="ListParagraph"/>
        <w:numPr>
          <w:ilvl w:val="0"/>
          <w:numId w:val="2"/>
        </w:numPr>
        <w:spacing w:after="60"/>
      </w:pPr>
      <w:r>
        <w:t xml:space="preserve">Debezium documentation, Exactly once delivery: debezium.io/documentation/reference/stable/configuration/eos.html</w:t>
      </w:r>
    </w:p>
    <w:p>
      <w:pPr>
        <w:pStyle w:val="ListParagraph"/>
        <w:numPr>
          <w:ilvl w:val="0"/>
          <w:numId w:val="2"/>
        </w:numPr>
        <w:spacing w:after="60"/>
      </w:pPr>
      <w:r>
        <w:t xml:space="preserve">Apache Iceberg documentation, Kafka Connect: iceberg.apache.org/docs/latest/kafka-connect</w:t>
      </w:r>
    </w:p>
    <w:p>
      <w:pPr>
        <w:pStyle w:val="ListParagraph"/>
        <w:numPr>
          <w:ilvl w:val="0"/>
          <w:numId w:val="2"/>
        </w:numPr>
        <w:spacing w:after="60"/>
      </w:pPr>
      <w:r>
        <w:t xml:space="preserve">dbt documentation, Amazon Athena configurations and Unit tests: docs.getdbt.com</w:t>
      </w:r>
    </w:p>
    <w:p>
      <w:pPr>
        <w:pStyle w:val="ListParagraph"/>
        <w:numPr>
          <w:ilvl w:val="0"/>
          <w:numId w:val="2"/>
        </w:numPr>
        <w:spacing w:after="60"/>
      </w:pPr>
      <w:r>
        <w:t xml:space="preserve">Amazon Athena documentation, Optimize Iceberg tables: docs.aws.amazon.com/athena/latest/ug/querying-iceberg-data-optimization.html</w:t>
      </w:r>
    </w:p>
    <w:p>
      <w:pPr>
        <w:pStyle w:val="ListParagraph"/>
        <w:numPr>
          <w:ilvl w:val="0"/>
          <w:numId w:val="2"/>
        </w:numPr>
        <w:spacing w:after="60"/>
      </w:pPr>
      <w:r>
        <w:t xml:space="preserve">AWS Lake Formation documentation, Data filtering limitations: docs.aws.amazon.com/lake-formation/latest/dg/data-filtering-notes.html</w:t>
      </w:r>
    </w:p>
    <w:p>
      <w:pPr>
        <w:pStyle w:val="ListParagraph"/>
        <w:numPr>
          <w:ilvl w:val="0"/>
          <w:numId w:val="2"/>
        </w:numPr>
        <w:spacing w:after="60"/>
      </w:pPr>
      <w:r>
        <w:t xml:space="preserve">Data Contract CLI documentation (ODCS, Kafka testing): docs.datacontract.com</w:t>
      </w:r>
    </w:p>
    <w:p>
      <w:pPr>
        <w:pStyle w:val="ListParagraph"/>
        <w:numPr>
          <w:ilvl w:val="0"/>
          <w:numId w:val="2"/>
        </w:numPr>
        <w:spacing w:after="60"/>
      </w:pPr>
      <w:r>
        <w:t xml:space="preserve">Apache Kafka 4.2.0 release announcement and Factor House guide to Kafka 4.3.0</w:t>
      </w:r>
    </w:p>
    <w:p>
      <w:pPr>
        <w:pStyle w:val="ListParagraph"/>
        <w:numPr>
          <w:ilvl w:val="0"/>
          <w:numId w:val="2"/>
        </w:numPr>
        <w:spacing w:after="60"/>
      </w:pPr>
      <w:r>
        <w:t xml:space="preserve">Apache Airflow 3.3.0 release announcement: airflow.apache.org/blog/airflow-3.3.0</w:t>
      </w:r>
    </w:p>
    <w:p>
      <w:pPr>
        <w:pStyle w:val="ListParagraph"/>
        <w:numPr>
          <w:ilvl w:val="0"/>
          <w:numId w:val="2"/>
        </w:numPr>
        <w:spacing w:after="60"/>
      </w:pPr>
      <w:r>
        <w:t xml:space="preserve">Factor House, theLook eCommerce CDC example (Apache License 2.0): github.com/factorhouse/examples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8C99"/>
        <w:sz w:val="16"/>
        <w:szCs w:val="16"/>
      </w:rPr>
      <w:t xml:space="preserve">theLook CDC Lakehouse, cahier des charges v1.6    </w:t>
    </w:r>
    <w:r>
      <w:rPr>
        <w:color w:val="7F8C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4E79"/>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theLook CDC Lakehouse on AWS</dc:title>
  <dc:creator>Souhail Bourhim</dc:creator>
  <cp:lastModifiedBy>Un-named</cp:lastModifiedBy>
  <cp:revision>1</cp:revision>
  <dcterms:created xsi:type="dcterms:W3CDTF">2026-09-29T17:02:17.918Z</dcterms:created>
  <dcterms:modified xsi:type="dcterms:W3CDTF">2026-09-29T17:02:17.918Z</dcterms:modified>
</cp:coreProperties>
</file>

<file path=docProps/custom.xml><?xml version="1.0" encoding="utf-8"?>
<Properties xmlns="http://schemas.openxmlformats.org/officeDocument/2006/custom-properties" xmlns:vt="http://schemas.openxmlformats.org/officeDocument/2006/docPropsVTypes"/>
</file>