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Souheil Mouhajir</w:t>
      </w:r>
    </w:p>
    <w:p>
      <w:r>
        <w:t>DATS 2102, Data Visualization for Data Science</w:t>
      </w:r>
    </w:p>
    <w:p>
      <w:r>
        <w:t>Professor Junjun Yin</w:t>
      </w:r>
    </w:p>
    <w:p>
      <w:r>
        <w:t>22 October 2026</w:t>
      </w:r>
    </w:p>
    <w:p>
      <w:pPr>
        <w:jc w:val="center"/>
      </w:pPr>
      <w:r>
        <w:t>Reflection: Does Zelda sell the console?</w:t>
      </w:r>
    </w:p>
    <w:p>
      <w:pPr>
        <w:ind w:firstLine="720"/>
      </w:pPr>
      <w:r>
        <w:t>The hardest part was deciding which numbers to trust. VGChartz is the only open dataset with regional sales for thousands of games, but its numbers are estimates, end in 2016 and skip digital sales. Nintendo's figures are official but only cover the top ten games per console. I used both and labelled every row with its source. Comparing the two on The Wind Waker HD (1.79 million against 2.37 million) showed me how big the gap can be. Smaller things took time too: 2,425 user scores stored as "tbd", 20 partial "weekly sales" rows, Link's Awakening dated a year early, and a Wii U remake filed under the GameCube title, which broke my first join. I checked the name matching by making sure the two score sources agreed on the 15 games they share.</w:t>
      </w:r>
    </w:p>
    <w:p>
      <w:pPr>
        <w:ind w:firstLine="720"/>
      </w:pPr>
      <w:r>
        <w:t>Most of my design choices came from the perception readings. Sales cover four orders of magnitude, so every sales axis is on a log scale. I tried overlapping histograms for the franchises first, but eight of them on one plot were unreadable, so I switched to a ridgeline. For critic scores I drew the raw points under the density because a box plot hid how few Zelda games there are. The hexbin fixes overplotting in the scatter. I kept gold for Zelda in every chart so the reader only has to learn the colours once.</w:t>
      </w:r>
    </w:p>
    <w:p>
      <w:pPr>
        <w:ind w:firstLine="720"/>
      </w:pPr>
      <w:r>
        <w:t>The platform chart is where the design changed the conclusion. My first version summed sales by platform, with rainbow colours and a cut off axis, and it made the Switch look dominant and the Wii U look irrelevant. Dividing by consoles sold moved the Wii U from last to fourth and showed the Nintendo 64 and GameCube close to the Switch.</w:t>
      </w:r>
    </w:p>
    <w:p>
      <w:pPr>
        <w:ind w:firstLine="720"/>
      </w:pPr>
      <w:r>
        <w:t>The waffle chart communicates the main point best. It answers the title question directly, uses all three datasets, and you can count the squares without reading an axis.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