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NEW-WHEELS VEHICLE RESALE PLATFORM</w:t>
        <w:br/>
      </w:r>
      <w:r>
        <w:rPr>
          <w:rFonts w:ascii="Arial" w:hAnsi="Arial"/>
          <w:b/>
          <w:color w:val="2563EB"/>
          <w:sz w:val="26"/>
        </w:rPr>
        <w:t>Comprehensive Quarterly Business Performance Review &amp; Root-Cause Analysis</w:t>
        <w:br/>
      </w:r>
      <w:r>
        <w:rPr>
          <w:rFonts w:ascii="Arial" w:hAnsi="Arial"/>
          <w:i/>
          <w:color w:val="64748B"/>
          <w:sz w:val="19"/>
        </w:rPr>
        <w:t>Author: Souhrid Dey | Executive Analytics &amp; Business Intelligence Case Study</w:t>
        <w:br/>
      </w:r>
    </w:p>
    <w:p>
      <w:pPr>
        <w:spacing w:after="160"/>
      </w:pPr>
    </w:p>
    <w:p>
      <w:pPr>
        <w:pStyle w:val="Heading1"/>
      </w:pPr>
      <w:r>
        <w:t>Executive KPI Overview Scorecard</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F1F5F9"/>
          </w:tcPr>
          <w:p>
            <w:r>
              <w:rPr>
                <w:b/>
                <w:color w:val="334155"/>
                <w:sz w:val="18"/>
              </w:rPr>
              <w:t>Total Net Revenue</w:t>
            </w:r>
          </w:p>
        </w:tc>
        <w:tc>
          <w:tcPr>
            <w:tcW w:type="dxa" w:w="2484"/>
            <w:shd w:val="clear" w:color="auto" w:fill="FFFFFF"/>
          </w:tcPr>
          <w:p>
            <w:r>
              <w:rPr>
                <w:color w:val="0F172A"/>
                <w:sz w:val="18"/>
              </w:rPr>
              <w:t>$48,610,993.78</w:t>
            </w:r>
          </w:p>
        </w:tc>
        <w:tc>
          <w:tcPr>
            <w:tcW w:type="dxa" w:w="2484"/>
            <w:shd w:val="clear" w:color="auto" w:fill="F1F5F9"/>
          </w:tcPr>
          <w:p>
            <w:r>
              <w:rPr>
                <w:b/>
                <w:color w:val="334155"/>
                <w:sz w:val="18"/>
              </w:rPr>
              <w:t>Total Orders Fulfilled</w:t>
            </w:r>
          </w:p>
        </w:tc>
        <w:tc>
          <w:tcPr>
            <w:tcW w:type="dxa" w:w="2484"/>
            <w:shd w:val="clear" w:color="auto" w:fill="FFFFFF"/>
          </w:tcPr>
          <w:p>
            <w:r>
              <w:rPr>
                <w:color w:val="0F172A"/>
                <w:sz w:val="18"/>
              </w:rPr>
              <w:t>1,000 Orders</w:t>
            </w:r>
          </w:p>
        </w:tc>
      </w:tr>
      <w:tr>
        <w:tc>
          <w:tcPr>
            <w:tcW w:type="dxa" w:w="2484"/>
            <w:shd w:val="clear" w:color="auto" w:fill="F1F5F9"/>
          </w:tcPr>
          <w:p>
            <w:r>
              <w:rPr>
                <w:b/>
                <w:color w:val="334155"/>
                <w:sz w:val="18"/>
              </w:rPr>
              <w:t>Total Unique Customers</w:t>
            </w:r>
          </w:p>
        </w:tc>
        <w:tc>
          <w:tcPr>
            <w:tcW w:type="dxa" w:w="2484"/>
            <w:shd w:val="clear" w:color="auto" w:fill="FFFFFF"/>
          </w:tcPr>
          <w:p>
            <w:r>
              <w:rPr>
                <w:color w:val="0F172A"/>
                <w:sz w:val="18"/>
              </w:rPr>
              <w:t>994 Customers</w:t>
            </w:r>
          </w:p>
        </w:tc>
        <w:tc>
          <w:tcPr>
            <w:tcW w:type="dxa" w:w="2484"/>
            <w:shd w:val="clear" w:color="auto" w:fill="F1F5F9"/>
          </w:tcPr>
          <w:p>
            <w:r>
              <w:rPr>
                <w:b/>
                <w:color w:val="334155"/>
                <w:sz w:val="18"/>
              </w:rPr>
              <w:t>Overall Customer Rating</w:t>
            </w:r>
          </w:p>
        </w:tc>
        <w:tc>
          <w:tcPr>
            <w:tcW w:type="dxa" w:w="2484"/>
            <w:shd w:val="clear" w:color="auto" w:fill="FFFFFF"/>
          </w:tcPr>
          <w:p>
            <w:r>
              <w:rPr>
                <w:color w:val="0F172A"/>
                <w:sz w:val="18"/>
              </w:rPr>
              <w:t>3.09 / 5.00</w:t>
            </w:r>
          </w:p>
        </w:tc>
      </w:tr>
      <w:tr>
        <w:tc>
          <w:tcPr>
            <w:tcW w:type="dxa" w:w="2484"/>
            <w:shd w:val="clear" w:color="auto" w:fill="F1F5F9"/>
          </w:tcPr>
          <w:p>
            <w:r>
              <w:rPr>
                <w:b/>
                <w:color w:val="334155"/>
                <w:sz w:val="18"/>
              </w:rPr>
              <w:t>Q4 Net Revenue</w:t>
            </w:r>
          </w:p>
        </w:tc>
        <w:tc>
          <w:tcPr>
            <w:tcW w:type="dxa" w:w="2484"/>
            <w:shd w:val="clear" w:color="auto" w:fill="FFFFFF"/>
          </w:tcPr>
          <w:p>
            <w:r>
              <w:rPr>
                <w:color w:val="0F172A"/>
                <w:sz w:val="18"/>
              </w:rPr>
              <w:t>$8,573,149.28 (-52.5% vs Q1)</w:t>
            </w:r>
          </w:p>
        </w:tc>
        <w:tc>
          <w:tcPr>
            <w:tcW w:type="dxa" w:w="2484"/>
            <w:shd w:val="clear" w:color="auto" w:fill="F1F5F9"/>
          </w:tcPr>
          <w:p>
            <w:r>
              <w:rPr>
                <w:b/>
                <w:color w:val="334155"/>
                <w:sz w:val="18"/>
              </w:rPr>
              <w:t>Q4 Orders</w:t>
            </w:r>
          </w:p>
        </w:tc>
        <w:tc>
          <w:tcPr>
            <w:tcW w:type="dxa" w:w="2484"/>
            <w:shd w:val="clear" w:color="auto" w:fill="FFFFFF"/>
          </w:tcPr>
          <w:p>
            <w:r>
              <w:rPr>
                <w:color w:val="0F172A"/>
                <w:sz w:val="18"/>
              </w:rPr>
              <w:t>199 Orders (-35.8% vs Q1)</w:t>
            </w:r>
          </w:p>
        </w:tc>
      </w:tr>
      <w:tr>
        <w:tc>
          <w:tcPr>
            <w:tcW w:type="dxa" w:w="2484"/>
            <w:shd w:val="clear" w:color="auto" w:fill="F1F5F9"/>
          </w:tcPr>
          <w:p>
            <w:r>
              <w:rPr>
                <w:b/>
                <w:color w:val="334155"/>
                <w:sz w:val="18"/>
              </w:rPr>
              <w:t>Average Days to Ship</w:t>
            </w:r>
          </w:p>
        </w:tc>
        <w:tc>
          <w:tcPr>
            <w:tcW w:type="dxa" w:w="2484"/>
            <w:shd w:val="clear" w:color="auto" w:fill="FFFFFF"/>
          </w:tcPr>
          <w:p>
            <w:r>
              <w:rPr>
                <w:color w:val="0F172A"/>
                <w:sz w:val="18"/>
              </w:rPr>
              <w:t>99.44 Days (Surged to 174.1d in Q4)</w:t>
            </w:r>
          </w:p>
        </w:tc>
        <w:tc>
          <w:tcPr>
            <w:tcW w:type="dxa" w:w="2484"/>
            <w:shd w:val="clear" w:color="auto" w:fill="F1F5F9"/>
          </w:tcPr>
          <w:p>
            <w:r>
              <w:rPr>
                <w:b/>
                <w:color w:val="334155"/>
                <w:sz w:val="18"/>
              </w:rPr>
              <w:t>% Positive Feedback</w:t>
            </w:r>
          </w:p>
        </w:tc>
        <w:tc>
          <w:tcPr>
            <w:tcW w:type="dxa" w:w="2484"/>
            <w:shd w:val="clear" w:color="auto" w:fill="FFFFFF"/>
          </w:tcPr>
          <w:p>
            <w:r>
              <w:rPr>
                <w:color w:val="0F172A"/>
                <w:sz w:val="18"/>
              </w:rPr>
              <w:t>44.80% (Good / Very Good)</w:t>
            </w:r>
          </w:p>
        </w:tc>
      </w:tr>
      <w:tr>
        <w:tc>
          <w:tcPr>
            <w:tcW w:type="dxa" w:w="2484"/>
            <w:shd w:val="clear" w:color="auto" w:fill="F1F5F9"/>
          </w:tcPr>
          <w:p>
            <w:r>
              <w:rPr>
                <w:b/>
                <w:color w:val="334155"/>
                <w:sz w:val="18"/>
              </w:rPr>
              <w:t>Worst Fulfillment Lag</w:t>
            </w:r>
          </w:p>
        </w:tc>
        <w:tc>
          <w:tcPr>
            <w:tcW w:type="dxa" w:w="2484"/>
            <w:shd w:val="clear" w:color="auto" w:fill="FFFFFF"/>
          </w:tcPr>
          <w:p>
            <w:r>
              <w:rPr>
                <w:color w:val="0F172A"/>
                <w:sz w:val="18"/>
              </w:rPr>
              <w:t>525 Days (Outlier in Q3)</w:t>
            </w:r>
          </w:p>
        </w:tc>
        <w:tc>
          <w:tcPr>
            <w:tcW w:type="dxa" w:w="2484"/>
            <w:shd w:val="clear" w:color="auto" w:fill="F1F5F9"/>
          </w:tcPr>
          <w:p>
            <w:r>
              <w:rPr>
                <w:b/>
                <w:color w:val="334155"/>
                <w:sz w:val="18"/>
              </w:rPr>
              <w:t>% Critical Dissatisfaction (Q4)</w:t>
            </w:r>
          </w:p>
        </w:tc>
        <w:tc>
          <w:tcPr>
            <w:tcW w:type="dxa" w:w="2484"/>
            <w:shd w:val="clear" w:color="auto" w:fill="FFFFFF"/>
          </w:tcPr>
          <w:p>
            <w:r>
              <w:rPr>
                <w:color w:val="0F172A"/>
                <w:sz w:val="18"/>
              </w:rPr>
              <w:t>59.80% (Bad / Very Bad in Q4)</w:t>
            </w:r>
          </w:p>
        </w:tc>
      </w:tr>
    </w:tbl>
    <w:p>
      <w:pPr>
        <w:spacing w:after="160"/>
      </w:pPr>
    </w:p>
    <w:p>
      <w:r>
        <w:drawing>
          <wp:inline xmlns:a="http://schemas.openxmlformats.org/drawingml/2006/main" xmlns:pic="http://schemas.openxmlformats.org/drawingml/2006/picture">
            <wp:extent cx="5852160" cy="2409713"/>
            <wp:docPr id="1" name="Picture 1"/>
            <wp:cNvGraphicFramePr>
              <a:graphicFrameLocks noChangeAspect="1"/>
            </wp:cNvGraphicFramePr>
            <a:graphic>
              <a:graphicData uri="http://schemas.openxmlformats.org/drawingml/2006/picture">
                <pic:pic>
                  <pic:nvPicPr>
                    <pic:cNvPr id="0" name="01_executive_kpi_dashboard.png"/>
                    <pic:cNvPicPr/>
                  </pic:nvPicPr>
                  <pic:blipFill>
                    <a:blip r:embed="rId9"/>
                    <a:stretch>
                      <a:fillRect/>
                    </a:stretch>
                  </pic:blipFill>
                  <pic:spPr>
                    <a:xfrm>
                      <a:off x="0" y="0"/>
                      <a:ext cx="5852160" cy="2409713"/>
                    </a:xfrm>
                    <a:prstGeom prst="rect"/>
                  </pic:spPr>
                </pic:pic>
              </a:graphicData>
            </a:graphic>
          </wp:inline>
        </w:drawing>
      </w:r>
    </w:p>
    <w:p>
      <w:pPr>
        <w:jc w:val="center"/>
      </w:pPr>
      <w:r>
        <w:rPr>
          <w:i/>
          <w:sz w:val="17"/>
        </w:rPr>
        <w:t>Figure 1: Executive KPI Performance Scorecard &amp; Core Metrics</w:t>
      </w:r>
    </w:p>
    <w:p>
      <w:pPr>
        <w:spacing w:after="240"/>
      </w:pPr>
    </w:p>
    <w:p>
      <w:r>
        <w:t>New Wheels Project</w:t>
      </w:r>
    </w:p>
    <w:p>
      <w:r>
        <w:t>Introduction to SQL</w:t>
      </w:r>
    </w:p>
    <w:p>
      <w:pPr>
        <w:pStyle w:val="Heading1"/>
      </w:pPr>
      <w:r>
        <w:t>Problem Statement &amp; Business Context</w:t>
      </w:r>
    </w:p>
    <w:p>
      <w:pPr>
        <w:pStyle w:val="Heading2"/>
      </w:pPr>
      <w:r>
        <w:t>Business Context</w:t>
      </w:r>
    </w:p>
    <w:p>
      <w:r>
        <w:t>A lot of people in the world share a common desire: to own a vehicle. A car or an automobile is seen as an object that gives the freedom of mobility. Many now prefer pre-owned vehicles because they come at an affordable cost, but at the same time, they are also concerned about whether the after-sales service provided by the resale vendors is as good as the care you may get from the actual manufacturers.</w:t>
      </w:r>
    </w:p>
    <w:p>
      <w:r>
        <w:t>New-Wheels, a vehicle resale company, has launched an app with an end-to-end service from listing the vehicle on the platform to shipping it to the customer's location. This app also captures the overall after-sales feedback given by the customer.</w:t>
      </w:r>
    </w:p>
    <w:p>
      <w:pPr>
        <w:pStyle w:val="Heading2"/>
      </w:pPr>
      <w:r>
        <w:t>Objective</w:t>
      </w:r>
    </w:p>
    <w:p>
      <w:r>
        <w:t>New-Wheels sales have been dipping steadily in the past year, and due to the critical customer feedback and ratings online, there has been a drop in new customers every quarter, which is concerning to the business. The CEO of the company now wants a quarterly report with all the key metrics sent to him so he can assess the health of the business and make the necessary decisions.</w:t>
      </w:r>
    </w:p>
    <w:p>
      <w:r>
        <w:t>As a data analyst, you see that there is an array of questions that are being asked at the leadership level that need to be answered using data. Import the dump file that contains various tables that are present in the database. Use the data to answer the questions posed and create a quarterly business report for the CEO.</w:t>
      </w:r>
    </w:p>
    <w:p>
      <w:pPr>
        <w:pStyle w:val="Heading1"/>
      </w:pPr>
      <w:r>
        <w:t>Business Questions, SQL Solutions &amp; Detailed Findings</w:t>
      </w:r>
    </w:p>
    <w:p>
      <w:pPr>
        <w:pStyle w:val="Heading2"/>
      </w:pPr>
      <w:r>
        <w:t>Question 1: Find the total number of customers who have placed orders. What is the distribution of the customers across states?</w:t>
      </w:r>
    </w:p>
    <w:p>
      <w:r>
        <w:rPr>
          <w:b/>
        </w:rPr>
        <w:t>Solution Query:</w:t>
      </w:r>
    </w:p>
    <w:p>
      <w:pPr>
        <w:ind w:left="288"/>
      </w:pPr>
      <w:r>
        <w:rPr>
          <w:rFonts w:ascii="Consolas" w:hAnsi="Consolas"/>
          <w:sz w:val="17"/>
        </w:rPr>
        <w:t xml:space="preserve">SELECT </w:t>
        <w:br/>
        <w:t xml:space="preserve">    c.state,</w:t>
        <w:br/>
        <w:t xml:space="preserve">    COUNT(DISTINCT c.customer_id) AS customer_count,</w:t>
        <w:br/>
        <w:t xml:space="preserve">    ROUND(COUNT(DISTINCT c.customer_id) * 100.0 / </w:t>
        <w:br/>
        <w:t xml:space="preserve">          (SELECT COUNT(DISTINCT customer_id) FROM customer_t WHERE customer_id IN (SELECT DISTINCT customer_id FROM order_t)), 2) AS percentage_of_total</w:t>
        <w:br/>
        <w:t>FROM customer_t c</w:t>
        <w:br/>
        <w:t>INNER JOIN order_t o ON c.customer_id = o.customer_id</w:t>
        <w:br/>
        <w:t>GROUP BY c.state</w:t>
        <w:br/>
        <w:t>ORDER BY customer_count DESC;</w:t>
      </w:r>
    </w:p>
    <w:p>
      <w:r>
        <w:drawing>
          <wp:inline xmlns:a="http://schemas.openxmlformats.org/drawingml/2006/main" xmlns:pic="http://schemas.openxmlformats.org/drawingml/2006/picture">
            <wp:extent cx="5669280" cy="3090426"/>
            <wp:docPr id="2" name="Picture 2"/>
            <wp:cNvGraphicFramePr>
              <a:graphicFrameLocks noChangeAspect="1"/>
            </wp:cNvGraphicFramePr>
            <a:graphic>
              <a:graphicData uri="http://schemas.openxmlformats.org/drawingml/2006/picture">
                <pic:pic>
                  <pic:nvPicPr>
                    <pic:cNvPr id="0" name="02_state_customer_distribution.png"/>
                    <pic:cNvPicPr/>
                  </pic:nvPicPr>
                  <pic:blipFill>
                    <a:blip r:embed="rId10"/>
                    <a:stretch>
                      <a:fillRect/>
                    </a:stretch>
                  </pic:blipFill>
                  <pic:spPr>
                    <a:xfrm>
                      <a:off x="0" y="0"/>
                      <a:ext cx="5669280" cy="3090426"/>
                    </a:xfrm>
                    <a:prstGeom prst="rect"/>
                  </pic:spPr>
                </pic:pic>
              </a:graphicData>
            </a:graphic>
          </wp:inline>
        </w:drawing>
      </w:r>
    </w:p>
    <w:p>
      <w:pPr>
        <w:jc w:val="center"/>
      </w:pPr>
      <w:r>
        <w:rPr>
          <w:i/>
          <w:sz w:val="17"/>
        </w:rPr>
        <w:t>Figure 2: Customer Distribution Across Top 15 US States</w:t>
      </w:r>
    </w:p>
    <w:p>
      <w:pPr>
        <w:spacing w:after="120"/>
      </w:pPr>
    </w:p>
    <w:p>
      <w:r>
        <w:rPr>
          <w:b/>
          <w:color w:val="2563EB"/>
          <w:sz w:val="22"/>
        </w:rPr>
        <w:t>Observations and Insights:</w:t>
      </w:r>
    </w:p>
    <w:p>
      <w:r>
        <w:rPr>
          <w:b/>
          <w:color w:val="1E293B"/>
        </w:rPr>
        <w:t>Customer Identification: Successfully isolated the unique customer count by filtering the total database for individuals with at least one confirmed transaction in the order_t table.</w:t>
      </w:r>
    </w:p>
    <w:p>
      <w:r>
        <w:rPr>
          <w:b/>
          <w:color w:val="1E293B"/>
        </w:rPr>
        <w:t>Geographic Mapping: The data provides a clear visualization of the active customer base, segmented by state, allowing for a comparative analysis of regional market penetration.</w:t>
      </w:r>
    </w:p>
    <w:p>
      <w:r>
        <w:rPr>
          <w:b/>
          <w:color w:val="1E293B"/>
        </w:rPr>
        <w:t>Weightage Analysis: The inclusion of percentage distribution quantifies the relative importance of each state, identifying the primary "revenue hubs" within the current business landscape.</w:t>
      </w:r>
    </w:p>
    <w:p>
      <w:r>
        <w:t>Market Dominance &amp; Infrastructure: High concentration in specific states indicates areas where the brand enjoys strong market presence. This is likely driven by established delivery infrastructure and high regional awareness.</w:t>
      </w:r>
    </w:p>
    <w:p>
      <w:r>
        <w:t>Marketing Efficiency: Significant customer density in certain regions suggests that recent localized marketing campaigns or digital targeting have achieved high conversion rates.</w:t>
      </w:r>
    </w:p>
    <w:p>
      <w:r>
        <w:t>Strategic Expansion Opportunities: States with low customer volume are not necessarily underperformers but rather represent untapped "Blue Ocean" opportunities where market awareness challenges or logistical gaps may currently exist.</w:t>
      </w:r>
    </w:p>
    <w:p>
      <w:r>
        <w:t>Optimizing Logistics: Insight into regional density allows the business to prioritize warehouse locations and delivery routes, potentially lowering the "Last Mile" delivery costs in high-volume states.</w:t>
      </w:r>
    </w:p>
    <w:p>
      <w:pPr>
        <w:pStyle w:val="Heading2"/>
      </w:pPr>
      <w:r>
        <w:t>Question 2: Which are the top 5 vehicle makers preferred by the customers?</w:t>
      </w:r>
    </w:p>
    <w:p>
      <w:r>
        <w:rPr>
          <w:b/>
        </w:rPr>
        <w:t>Solution Query:</w:t>
      </w:r>
    </w:p>
    <w:p>
      <w:pPr>
        <w:ind w:left="288"/>
      </w:pPr>
      <w:r>
        <w:rPr>
          <w:rFonts w:ascii="Consolas" w:hAnsi="Consolas"/>
          <w:sz w:val="17"/>
        </w:rPr>
        <w:t xml:space="preserve">SELECT </w:t>
        <w:br/>
        <w:t xml:space="preserve">    p.vehicle_maker,</w:t>
        <w:br/>
        <w:t xml:space="preserve">    COUNT(o.order_id) AS total_orders,</w:t>
        <w:br/>
        <w:t xml:space="preserve">    ROUND(COUNT(o.order_id) * 100.0 / (SELECT COUNT(*) FROM order_t), 2) AS percentage_of_orders</w:t>
        <w:br/>
        <w:t>FROM order_t o</w:t>
        <w:br/>
        <w:t>INNER JOIN product_t p ON o.product_id = p.product_id</w:t>
        <w:br/>
        <w:t>GROUP BY p.vehicle_maker</w:t>
        <w:br/>
        <w:t>ORDER BY total_orders DESC</w:t>
        <w:br/>
        <w:t>LIMIT 5;</w:t>
      </w:r>
    </w:p>
    <w:p>
      <w:r>
        <w:drawing>
          <wp:inline xmlns:a="http://schemas.openxmlformats.org/drawingml/2006/main" xmlns:pic="http://schemas.openxmlformats.org/drawingml/2006/picture">
            <wp:extent cx="5669280" cy="3097727"/>
            <wp:docPr id="3" name="Picture 3"/>
            <wp:cNvGraphicFramePr>
              <a:graphicFrameLocks noChangeAspect="1"/>
            </wp:cNvGraphicFramePr>
            <a:graphic>
              <a:graphicData uri="http://schemas.openxmlformats.org/drawingml/2006/picture">
                <pic:pic>
                  <pic:nvPicPr>
                    <pic:cNvPr id="0" name="03_top_vehicle_makers.png"/>
                    <pic:cNvPicPr/>
                  </pic:nvPicPr>
                  <pic:blipFill>
                    <a:blip r:embed="rId11"/>
                    <a:stretch>
                      <a:fillRect/>
                    </a:stretch>
                  </pic:blipFill>
                  <pic:spPr>
                    <a:xfrm>
                      <a:off x="0" y="0"/>
                      <a:ext cx="5669280" cy="3097727"/>
                    </a:xfrm>
                    <a:prstGeom prst="rect"/>
                  </pic:spPr>
                </pic:pic>
              </a:graphicData>
            </a:graphic>
          </wp:inline>
        </w:drawing>
      </w:r>
    </w:p>
    <w:p>
      <w:pPr>
        <w:jc w:val="center"/>
      </w:pPr>
      <w:r>
        <w:rPr>
          <w:i/>
          <w:sz w:val="17"/>
        </w:rPr>
        <w:t>Figure 3: Top Vehicle Manufacturers by Order Share</w:t>
      </w:r>
    </w:p>
    <w:p>
      <w:pPr>
        <w:spacing w:after="120"/>
      </w:pPr>
    </w:p>
    <w:p>
      <w:r>
        <w:rPr>
          <w:b/>
          <w:color w:val="2563EB"/>
          <w:sz w:val="22"/>
        </w:rPr>
        <w:t>Observations and Insights:</w:t>
      </w:r>
    </w:p>
    <w:p>
      <w:r>
        <w:rPr>
          <w:b/>
          <w:color w:val="1E293B"/>
        </w:rPr>
        <w:t>Manufacturer Popularity Index: This query identifies the market leaders within the inventory by ranking unique vehicle manufacturers based on total customer order volume.</w:t>
      </w:r>
    </w:p>
    <w:p>
      <w:r>
        <w:rPr>
          <w:b/>
          <w:color w:val="1E293B"/>
        </w:rPr>
        <w:t>Market Share Metrics: The percentage distribution serves as a proxy for market share, quantifying exactly how much of the total sales volume each brand commands.</w:t>
      </w:r>
    </w:p>
    <w:p>
      <w:r>
        <w:rPr>
          <w:b/>
          <w:color w:val="1E293B"/>
        </w:rPr>
        <w:t>Performance Stratification: The data clearly distinguishes between "High-Volume" brands that drive the majority of traffic and "Niche" or "Low-Performance" brands with smaller footprints.</w:t>
      </w:r>
    </w:p>
    <w:p>
      <w:r>
        <w:t>Brand Equity &amp; Trust: The dominance of top-tier makers suggests high consumer confidence and strong brand reputation, likely supported by competitive pricing and high product reliability.</w:t>
      </w:r>
    </w:p>
    <w:p>
      <w:r>
        <w:t>Inventory Optimization: High-performing makers represent a lower risk for capital tie-up. The business should prioritize stocking these brands to ensure rapid turnover and meet consistent demand.</w:t>
      </w:r>
    </w:p>
    <w:p>
      <w:r>
        <w:t>Strategic Procurement: High sales volumes with specific makers provide significant leverage for the procurement team to negotiate better credit terms, bulk discounts, or priority shipping schedules.</w:t>
      </w:r>
    </w:p>
    <w:p>
      <w:r>
        <w:t>Partnership Potential: Manufacturers with a growing market share could be candidates for exclusive partnership deals or "featured brand" status on the platform to further accelerate growth.</w:t>
      </w:r>
    </w:p>
    <w:p>
      <w:r>
        <w:t>Underperformer Strategy: Brands with low order volume require a strategic review. This may involve implementing targeted promotional campaigns to clear aging stock or reconsidering future procurement for these specific manufacturers if performance doesn't improve.</w:t>
      </w:r>
    </w:p>
    <w:p>
      <w:pPr>
        <w:pStyle w:val="Heading2"/>
      </w:pPr>
      <w:r>
        <w:t>Question 3: Which is the most preferred vehicle maker in each state?</w:t>
      </w:r>
    </w:p>
    <w:p>
      <w:r>
        <w:rPr>
          <w:b/>
        </w:rPr>
        <w:t>Solution Query:</w:t>
      </w:r>
    </w:p>
    <w:p>
      <w:pPr>
        <w:ind w:left="288"/>
      </w:pPr>
      <w:r>
        <w:rPr>
          <w:rFonts w:ascii="Consolas" w:hAnsi="Consolas"/>
          <w:sz w:val="17"/>
        </w:rPr>
        <w:t>WITH state_maker_orders AS (</w:t>
        <w:br/>
        <w:t xml:space="preserve">    SELECT </w:t>
        <w:br/>
        <w:t xml:space="preserve">        c.state,</w:t>
        <w:br/>
        <w:t xml:space="preserve">        p.vehicle_maker,</w:t>
        <w:br/>
        <w:t xml:space="preserve">        COUNT(o.order_id) AS order_count,</w:t>
        <w:br/>
        <w:t xml:space="preserve">        ROW_NUMBER() OVER (PARTITION BY c.state ORDER BY COUNT(o.order_id) DESC) AS rank_num</w:t>
        <w:br/>
        <w:t xml:space="preserve">    FROM order_t o</w:t>
        <w:br/>
        <w:t xml:space="preserve">    INNER JOIN customer_t c ON o.customer_id = c.customer_id</w:t>
        <w:br/>
        <w:t xml:space="preserve">    INNER JOIN product_t p ON o.product_id = p.product_id</w:t>
        <w:br/>
        <w:t xml:space="preserve">    GROUP BY c.state, p.vehicle_maker</w:t>
        <w:br/>
        <w:t>)</w:t>
        <w:br/>
        <w:t xml:space="preserve">SELECT </w:t>
        <w:br/>
        <w:t xml:space="preserve">    state,</w:t>
        <w:br/>
        <w:t xml:space="preserve">    vehicle_maker AS preferred_maker,</w:t>
        <w:br/>
        <w:t xml:space="preserve">    order_count</w:t>
        <w:br/>
        <w:t>FROM state_maker_orders</w:t>
        <w:br/>
        <w:t>WHERE rank_num = 1</w:t>
        <w:br/>
        <w:t>ORDER BY order_count DESC;</w:t>
      </w:r>
    </w:p>
    <w:p>
      <w:r>
        <w:rPr>
          <w:b/>
          <w:color w:val="2563EB"/>
          <w:sz w:val="22"/>
        </w:rPr>
        <w:t>Observations and Insights:</w:t>
      </w:r>
    </w:p>
    <w:p>
      <w:r>
        <w:rPr>
          <w:b/>
          <w:color w:val="1E293B"/>
        </w:rPr>
        <w:t>Regional Market Dominance: This analysis maps the "Top Rank" manufacturer for every state, providing a granular view of brand leadership across different geographic territories.</w:t>
      </w:r>
    </w:p>
    <w:p>
      <w:r>
        <w:rPr>
          <w:b/>
          <w:color w:val="1E293B"/>
        </w:rPr>
        <w:t>Preference Diversification: The results highlight whether the market is unified by a few national leaders or fragmented by diverse regional favorites, indicating the level of brand loyalty within specific borders.</w:t>
      </w:r>
    </w:p>
    <w:p>
      <w:r>
        <w:t>Geographic Segmentation: By identifying which maker holds the #1 position in each state, the business can visualize its "strongholds" versus regions where it may need to diversify its product offering.</w:t>
      </w:r>
    </w:p>
    <w:p>
      <w:r>
        <w:t>Localized Consumer Behavior: (Environmental Influence) Dominant preferences often correlate with local factors such as terrain, climate, and infrastructure (e.g., a preference for rugged manufacturers in mountainous states).</w:t>
      </w:r>
    </w:p>
    <w:p>
      <w:r>
        <w:t>Economic Drivers: Identifying the top brand helps determine if a state’s demographic is more price-sensitive (budget brands) or aspirational (luxury/premium brands).</w:t>
      </w:r>
    </w:p>
    <w:p>
      <w:r>
        <w:t>Strategic Supply Chain Alignment:</w:t>
      </w:r>
    </w:p>
    <w:p>
      <w:r>
        <w:t>Inventory Optimization: To maximize turnover, the business should align state-level inventory with these preferred makers, ensuring that the most popular models are always in stock locally.</w:t>
      </w:r>
    </w:p>
    <w:p>
      <w:r>
        <w:t>Dealership Synergy: Strengthening partnerships with manufacturers that dominate specific states can lead to better local support, faster delivery times, and improved service infrastructure.</w:t>
      </w:r>
    </w:p>
    <w:p>
      <w:r>
        <w:t>Targeted Marketing &amp; Growth:</w:t>
      </w:r>
    </w:p>
    <w:p>
      <w:r>
        <w:t>Hyper-Local Campaigns: Instead of a "one-size-fits-all" national strategy, marketing spend should be allocated to promote state-specific favorites, significantly increasing conversion rates.</w:t>
      </w:r>
    </w:p>
    <w:p>
      <w:r>
        <w:t>National vs. Niche: If the same maker appears as #1 across multiple states, it signals high brand equity and a strong national identity. Conversely, divergent preferences suggest a need for a highly localized "Ground-Game" strategy.</w:t>
      </w:r>
    </w:p>
    <w:p>
      <w:r>
        <w:t>Competitive Conquesting: In states where a competitor’s brand is the clear leader, the business can investigate specific gaps (price, availability, or service) to launch "conquest" campaigns to steal market share.</w:t>
      </w:r>
    </w:p>
    <w:p>
      <w:pPr>
        <w:pStyle w:val="Heading2"/>
      </w:pPr>
      <w:r>
        <w:t>Question 4: Find the overall average rating given by the customers. What is the average rating in each quarter?</w:t>
      </w:r>
    </w:p>
    <w:p>
      <w:r>
        <w:t>Consider the following mapping for ratings: “Very Bad”: 1, “Bad”: 2, “Okay”: 3, “Good”: 4, “Very Good”: 5</w:t>
      </w:r>
    </w:p>
    <w:p>
      <w:r>
        <w:rPr>
          <w:b/>
        </w:rPr>
        <w:t>Solution Query:</w:t>
      </w:r>
    </w:p>
    <w:p>
      <w:pPr>
        <w:ind w:left="288"/>
      </w:pPr>
      <w:r>
        <w:rPr>
          <w:rFonts w:ascii="Consolas" w:hAnsi="Consolas"/>
          <w:sz w:val="17"/>
        </w:rPr>
        <w:t xml:space="preserve">SELECT </w:t>
        <w:br/>
        <w:t xml:space="preserve">    'Overall' AS period,</w:t>
        <w:br/>
        <w:t xml:space="preserve">    ROUND(AVG(</w:t>
        <w:br/>
        <w:t xml:space="preserve">        CASE </w:t>
        <w:br/>
        <w:t xml:space="preserve">            WHEN customer_feedback = 'Very Bad' THEN 1.0</w:t>
        <w:br/>
        <w:t xml:space="preserve">            WHEN customer_feedback = 'Bad' THEN 2.0</w:t>
        <w:br/>
        <w:t xml:space="preserve">            WHEN customer_feedback = 'Okay' THEN 3.0</w:t>
        <w:br/>
        <w:t xml:space="preserve">            WHEN customer_feedback = 'Good' THEN 4.0</w:t>
        <w:br/>
        <w:t xml:space="preserve">            WHEN customer_feedback = 'Very Good' THEN 5.0</w:t>
        <w:br/>
        <w:t xml:space="preserve">            ELSE NULL</w:t>
        <w:br/>
        <w:t xml:space="preserve">        END</w:t>
        <w:br/>
        <w:t xml:space="preserve">    ), 2) AS average_rating</w:t>
        <w:br/>
        <w:t>FROM order_t</w:t>
        <w:br/>
        <w:t>WHERE customer_feedback IS NOT NULL</w:t>
        <w:br/>
        <w:t>UNION ALL</w:t>
        <w:br/>
        <w:t xml:space="preserve">SELECT </w:t>
        <w:br/>
        <w:t xml:space="preserve">    'Q' || quarter_number AS period, </w:t>
        <w:br/>
        <w:t xml:space="preserve">    ROUND(AVG(</w:t>
        <w:br/>
        <w:t xml:space="preserve">        CASE </w:t>
        <w:br/>
        <w:t xml:space="preserve">            WHEN customer_feedback = 'Very Bad' THEN 1.0</w:t>
        <w:br/>
        <w:t xml:space="preserve">            WHEN customer_feedback = 'Bad' THEN 2.0</w:t>
        <w:br/>
        <w:t xml:space="preserve">            WHEN customer_feedback = 'Okay' THEN 3.0</w:t>
        <w:br/>
        <w:t xml:space="preserve">            WHEN customer_feedback = 'Good' THEN 4.0</w:t>
        <w:br/>
        <w:t xml:space="preserve">            WHEN customer_feedback = 'Very Good' THEN 5.0</w:t>
        <w:br/>
        <w:t xml:space="preserve">            ELSE NULL</w:t>
        <w:br/>
        <w:t xml:space="preserve">        END</w:t>
        <w:br/>
        <w:t xml:space="preserve">    ), 2) AS average_rating</w:t>
        <w:br/>
        <w:t>FROM order_t</w:t>
        <w:br/>
        <w:t>WHERE customer_feedback IS NOT NULL</w:t>
        <w:br/>
        <w:t>GROUP BY quarter_number</w:t>
        <w:br/>
        <w:t xml:space="preserve">ORDER BY period; </w:t>
      </w:r>
    </w:p>
    <w:p>
      <w:r>
        <w:drawing>
          <wp:inline xmlns:a="http://schemas.openxmlformats.org/drawingml/2006/main" xmlns:pic="http://schemas.openxmlformats.org/drawingml/2006/picture">
            <wp:extent cx="5669280" cy="3322904"/>
            <wp:docPr id="4" name="Picture 4"/>
            <wp:cNvGraphicFramePr>
              <a:graphicFrameLocks noChangeAspect="1"/>
            </wp:cNvGraphicFramePr>
            <a:graphic>
              <a:graphicData uri="http://schemas.openxmlformats.org/drawingml/2006/picture">
                <pic:pic>
                  <pic:nvPicPr>
                    <pic:cNvPr id="0" name="04_quarterly_satisfaction_collapse.png"/>
                    <pic:cNvPicPr/>
                  </pic:nvPicPr>
                  <pic:blipFill>
                    <a:blip r:embed="rId12"/>
                    <a:stretch>
                      <a:fillRect/>
                    </a:stretch>
                  </pic:blipFill>
                  <pic:spPr>
                    <a:xfrm>
                      <a:off x="0" y="0"/>
                      <a:ext cx="5669280" cy="3322904"/>
                    </a:xfrm>
                    <a:prstGeom prst="rect"/>
                  </pic:spPr>
                </pic:pic>
              </a:graphicData>
            </a:graphic>
          </wp:inline>
        </w:drawing>
      </w:r>
    </w:p>
    <w:p>
      <w:pPr>
        <w:jc w:val="center"/>
      </w:pPr>
      <w:r>
        <w:rPr>
          <w:i/>
          <w:sz w:val="17"/>
        </w:rPr>
        <w:t>Figure 4: Quarterly Customer Rating Collapse (1-5 Scale)</w:t>
      </w:r>
    </w:p>
    <w:p>
      <w:pPr>
        <w:spacing w:after="120"/>
      </w:pPr>
    </w:p>
    <w:p>
      <w:r>
        <w:rPr>
          <w:b/>
          <w:color w:val="2563EB"/>
          <w:sz w:val="22"/>
        </w:rPr>
        <w:t>Observations and Insights:</w:t>
      </w:r>
    </w:p>
    <w:p>
      <w:r>
        <w:rPr>
          <w:b/>
          <w:color w:val="1E293B"/>
        </w:rPr>
        <w:t>Baseline Sentiment Analysis: The "Overall" rating serves as the foundational benchmark for the organization, aggregating customer feedback to provide a high-level view of general brand satisfaction.</w:t>
      </w:r>
    </w:p>
    <w:p>
      <w:r>
        <w:rPr>
          <w:b/>
          <w:color w:val="1E293B"/>
        </w:rPr>
        <w:t>Temporal Trend Mapping: Quarterly averages enable a longitudinal view of performance, allowing the business to visualize whether the customer experience is improving, stabilizing, or deteriorating over time.</w:t>
      </w:r>
    </w:p>
    <w:p>
      <w:r>
        <w:rPr>
          <w:b/>
          <w:color w:val="1E293B"/>
        </w:rPr>
        <w:t>Performance Stratification: By segmenting ratings into specific numerical brackets, the query creates a performance scale that translates subjective feedback into objective business KPIs.</w:t>
      </w:r>
    </w:p>
    <w:p>
      <w:r>
        <w:t>Quality Control &amp; Operational Health:</w:t>
      </w:r>
    </w:p>
    <w:p>
      <w:r>
        <w:t>Improving Trends: Positive growth in quarterly ratings validates the effectiveness of recent operational enhancements or staff training initiatives.</w:t>
      </w:r>
    </w:p>
    <w:p>
      <w:r>
        <w:t>Declining Trends: A downward trajectory serves as an early warning system for deteriorating service levels, potential logistics bottlenecks, or product quality issues.</w:t>
      </w:r>
    </w:p>
    <w:p>
      <w:r>
        <w:t>Strategic Response Thresholds:</w:t>
      </w:r>
    </w:p>
    <w:p>
      <w:r>
        <w:t>Crisis Management ($&lt;3.0$): Scores in this range signal critical service failures that require immediate intervention and root-cause analysis.</w:t>
      </w:r>
    </w:p>
    <w:p>
      <w:r>
        <w:t>Optimization Zone ($3.0 - 4.0$): Ratings in this bracket represent an "Acceptable but Underperforming" status, where incremental improvements in delivery speed or communication can drive significant gains.</w:t>
      </w:r>
    </w:p>
    <w:p>
      <w:r>
        <w:t>Excellence Benchmark ($&gt;4.0$): Scores exceeding 4.0 indicate high customer loyalty and successful service delivery models that should be replicated across other regions.</w:t>
      </w:r>
    </w:p>
    <w:p>
      <w:r>
        <w:t>Operational Correlations: Analyzing QoQ trends helps identify seasonal influences or the direct impact of specific policy changes on customer sentiment. This correlation is vital for understanding if spikes in order volume are being handled without compromising service quality.</w:t>
      </w:r>
    </w:p>
    <w:p>
      <w:pPr>
        <w:pStyle w:val="Heading2"/>
      </w:pPr>
      <w:r>
        <w:t>Question 5: Find the percentage distribution of feedback from the customers. Are customers getting more dissatisfied over time?</w:t>
      </w:r>
    </w:p>
    <w:p>
      <w:r>
        <w:rPr>
          <w:b/>
        </w:rPr>
        <w:t>Solution Query:</w:t>
      </w:r>
    </w:p>
    <w:p>
      <w:pPr>
        <w:ind w:left="288"/>
      </w:pPr>
      <w:r>
        <w:rPr>
          <w:rFonts w:ascii="Consolas" w:hAnsi="Consolas"/>
          <w:sz w:val="17"/>
        </w:rPr>
        <w:t>SELECT analysis_period, customer_feedback, feedback_count, percentage</w:t>
        <w:br/>
        <w:t>FROM (</w:t>
        <w:br/>
        <w:t xml:space="preserve">    SELECT </w:t>
        <w:br/>
        <w:t xml:space="preserve">        'Overall' AS analysis_period,</w:t>
        <w:br/>
        <w:t xml:space="preserve">        customer_feedback,</w:t>
        <w:br/>
        <w:t xml:space="preserve">        COUNT(*) AS feedback_count,</w:t>
        <w:br/>
        <w:t xml:space="preserve">        ROUND(COUNT(*) * 100.0 / (SELECT COUNT(*) FROM order_t WHERE customer_feedback IS NOT NULL), 2) AS percentage,</w:t>
        <w:br/>
        <w:t xml:space="preserve">        CASE customer_feedback</w:t>
        <w:br/>
        <w:t xml:space="preserve">            WHEN 'Very Bad' THEN 1</w:t>
        <w:br/>
        <w:t xml:space="preserve">            WHEN 'Bad' THEN 2</w:t>
        <w:br/>
        <w:t xml:space="preserve">            WHEN 'Okay' THEN 3</w:t>
        <w:br/>
        <w:t xml:space="preserve">            WHEN 'Good' THEN 4</w:t>
        <w:br/>
        <w:t xml:space="preserve">            WHEN 'Very Good' THEN 5</w:t>
        <w:br/>
        <w:t xml:space="preserve">        END AS sort_order</w:t>
        <w:br/>
        <w:t xml:space="preserve">    FROM order_t</w:t>
        <w:br/>
        <w:t xml:space="preserve">    WHERE customer_feedback IS NOT NULL</w:t>
        <w:br/>
        <w:t xml:space="preserve">    GROUP BY customer_feedback</w:t>
        <w:br/>
        <w:t xml:space="preserve">    UNION ALL</w:t>
        <w:br/>
        <w:t xml:space="preserve">    SELECT </w:t>
        <w:br/>
        <w:t xml:space="preserve">        'Q' || quarter_number AS analysis_period,</w:t>
        <w:br/>
        <w:t xml:space="preserve">        customer_feedback,</w:t>
        <w:br/>
        <w:t xml:space="preserve">        COUNT(*) AS feedback_count,</w:t>
        <w:br/>
        <w:t xml:space="preserve">        ROUND(COUNT(*) * 100.0 / SUM(COUNT(*)) OVER (PARTITION BY quarter_number), 2) AS percentage,</w:t>
        <w:br/>
        <w:t xml:space="preserve">        CASE customer_feedback</w:t>
        <w:br/>
        <w:t xml:space="preserve">            WHEN 'Very Bad' THEN 1</w:t>
        <w:br/>
        <w:t xml:space="preserve">            WHEN 'Bad' THEN 2</w:t>
        <w:br/>
        <w:t xml:space="preserve">            WHEN 'Okay' THEN 3</w:t>
        <w:br/>
        <w:t xml:space="preserve">            WHEN 'Good' THEN 4</w:t>
        <w:br/>
        <w:t xml:space="preserve">            WHEN 'Very Good' THEN 5</w:t>
        <w:br/>
        <w:t xml:space="preserve">        END AS sort_order</w:t>
        <w:br/>
        <w:t xml:space="preserve">    FROM order_t</w:t>
        <w:br/>
        <w:t xml:space="preserve">    WHERE customer_feedback IS NOT NULL</w:t>
        <w:br/>
        <w:t xml:space="preserve">    GROUP BY quarter_number, customer_feedback</w:t>
        <w:br/>
        <w:t>)</w:t>
        <w:br/>
        <w:t>ORDER BY analysis_period, sort_order;</w:t>
      </w:r>
    </w:p>
    <w:p>
      <w:r>
        <w:drawing>
          <wp:inline xmlns:a="http://schemas.openxmlformats.org/drawingml/2006/main" xmlns:pic="http://schemas.openxmlformats.org/drawingml/2006/picture">
            <wp:extent cx="5669280" cy="3257120"/>
            <wp:docPr id="5" name="Picture 5"/>
            <wp:cNvGraphicFramePr>
              <a:graphicFrameLocks noChangeAspect="1"/>
            </wp:cNvGraphicFramePr>
            <a:graphic>
              <a:graphicData uri="http://schemas.openxmlformats.org/drawingml/2006/picture">
                <pic:pic>
                  <pic:nvPicPr>
                    <pic:cNvPr id="0" name="05_feedback_sentiment_trend.png"/>
                    <pic:cNvPicPr/>
                  </pic:nvPicPr>
                  <pic:blipFill>
                    <a:blip r:embed="rId13"/>
                    <a:stretch>
                      <a:fillRect/>
                    </a:stretch>
                  </pic:blipFill>
                  <pic:spPr>
                    <a:xfrm>
                      <a:off x="0" y="0"/>
                      <a:ext cx="5669280" cy="3257120"/>
                    </a:xfrm>
                    <a:prstGeom prst="rect"/>
                  </pic:spPr>
                </pic:pic>
              </a:graphicData>
            </a:graphic>
          </wp:inline>
        </w:drawing>
      </w:r>
    </w:p>
    <w:p>
      <w:pPr>
        <w:jc w:val="center"/>
      </w:pPr>
      <w:r>
        <w:rPr>
          <w:i/>
          <w:sz w:val="17"/>
        </w:rPr>
        <w:t>Figure 5: Customer Feedback Sentiment Breakdown by Quarter</w:t>
      </w:r>
    </w:p>
    <w:p>
      <w:pPr>
        <w:spacing w:after="120"/>
      </w:pPr>
    </w:p>
    <w:p>
      <w:r>
        <w:rPr>
          <w:b/>
          <w:color w:val="2563EB"/>
          <w:sz w:val="22"/>
        </w:rPr>
        <w:t>Observations and Insights:</w:t>
      </w:r>
    </w:p>
    <w:p>
      <w:r>
        <w:rPr>
          <w:b/>
          <w:color w:val="1E293B"/>
        </w:rPr>
        <w:t>Sentiment Baseline: The overall distribution provides a comprehensive "snapshot" of customer sentiment, categorizing every interaction from 'Very Bad' to 'Very Good' to establish a satisfaction baseline.</w:t>
      </w:r>
    </w:p>
    <w:p>
      <w:r>
        <w:rPr>
          <w:b/>
          <w:color w:val="1E293B"/>
        </w:rPr>
        <w:t>Quarterly Sentiment Shifts: By breaking the data down by quarter, we can observe the migration of customer sentiment. A pivot from 'Very Good' toward 'Okay' or 'Bad' serves as a leading indicator of declining service health.</w:t>
      </w:r>
    </w:p>
    <w:p>
      <w:r>
        <w:t>Volume vs. Percentage: The inclusion of percentage metrics ensures that even if order volumes fluctuate, we can accurately measure the relative growth of dissatisfaction.</w:t>
      </w:r>
    </w:p>
    <w:p>
      <w:r>
        <w:t>The "Red Flag" Thresholds:</w:t>
      </w:r>
    </w:p>
    <w:p>
      <w:r>
        <w:t>Critical Dissatisfaction: When the combined volume of 'Very Bad' and 'Bad' feedback exceeds 30%, it indicates a systemic failure in the customer journey that requires immediate crisis management.</w:t>
      </w:r>
    </w:p>
    <w:p>
      <w:r>
        <w:t>The "Mediocrity Trap": A rising percentage of 'Okay' responses suggests that while the service isn't "failing," it is losing its competitive edge and failing to create brand advocates.</w:t>
      </w:r>
    </w:p>
    <w:p>
      <w:r>
        <w:t>Root Cause Hypothesis: Increasing negative trends are typically symptomatic of specific operational bottlenecks, such as:</w:t>
      </w:r>
    </w:p>
    <w:p>
      <w:r>
        <w:t>Logistical Friction: Extended delivery timelines or lack of transparency during transit.</w:t>
      </w:r>
    </w:p>
    <w:p>
      <w:r>
        <w:t>Product-Expectation Gap: Discrepancies between digital descriptions and the physical vehicle quality.</w:t>
      </w:r>
    </w:p>
    <w:p>
      <w:r>
        <w:t>Support Fatigue: Inadequate or slow resolution from customer service teams.</w:t>
      </w:r>
    </w:p>
    <w:p>
      <w:r>
        <w:t>Strategic Action Items:</w:t>
      </w:r>
    </w:p>
    <w:p>
      <w:r>
        <w:t>Deep-Dive Analysis: Conduct qualitative reviews (text mining) on 'Very Bad' entries to identify recurring themes (e.g., specific makers or delivery hubs).</w:t>
      </w:r>
    </w:p>
    <w:p>
      <w:r>
        <w:t>Process Refinement: Tighten quality control measures at the point of dispatch to reduce product-related complaints.</w:t>
      </w:r>
    </w:p>
    <w:p>
      <w:r>
        <w:rPr>
          <w:b/>
          <w:color w:val="1E293B"/>
        </w:rPr>
        <w:t>Communication Overhaul: Proactive updates during the shipping process can often prevent 'Bad' ratings even when delays occur.</w:t>
      </w:r>
    </w:p>
    <w:p>
      <w:pPr>
        <w:pStyle w:val="Heading2"/>
      </w:pPr>
      <w:r>
        <w:t>Question 6: What is the trend of the number of orders by quarter?</w:t>
      </w:r>
    </w:p>
    <w:p>
      <w:r>
        <w:rPr>
          <w:b/>
        </w:rPr>
        <w:t>Solution Query:</w:t>
      </w:r>
    </w:p>
    <w:p>
      <w:pPr>
        <w:ind w:left="288"/>
      </w:pPr>
      <w:r>
        <w:rPr>
          <w:rFonts w:ascii="Consolas" w:hAnsi="Consolas"/>
          <w:sz w:val="17"/>
        </w:rPr>
        <w:t xml:space="preserve">SELECT </w:t>
        <w:br/>
        <w:t xml:space="preserve">    quarter_number,</w:t>
        <w:br/>
        <w:t xml:space="preserve">    COUNT(order_id) AS total_orders,</w:t>
        <w:br/>
        <w:t xml:space="preserve">    COUNT(DISTINCT customer_id) AS unique_customers,</w:t>
        <w:br/>
        <w:t xml:space="preserve">    ROUND(COUNT(order_id) * 1.0 / COUNT(DISTINCT customer_id), 2) AS orders_per_customer</w:t>
        <w:br/>
        <w:t>FROM order_t</w:t>
        <w:br/>
        <w:t>GROUP BY quarter_number</w:t>
        <w:br/>
        <w:t>ORDER BY quarter_number;</w:t>
      </w:r>
    </w:p>
    <w:p>
      <w:r>
        <w:drawing>
          <wp:inline xmlns:a="http://schemas.openxmlformats.org/drawingml/2006/main" xmlns:pic="http://schemas.openxmlformats.org/drawingml/2006/picture">
            <wp:extent cx="5669280" cy="3248689"/>
            <wp:docPr id="6" name="Picture 6"/>
            <wp:cNvGraphicFramePr>
              <a:graphicFrameLocks noChangeAspect="1"/>
            </wp:cNvGraphicFramePr>
            <a:graphic>
              <a:graphicData uri="http://schemas.openxmlformats.org/drawingml/2006/picture">
                <pic:pic>
                  <pic:nvPicPr>
                    <pic:cNvPr id="0" name="06_revenue_and_order_trend.png"/>
                    <pic:cNvPicPr/>
                  </pic:nvPicPr>
                  <pic:blipFill>
                    <a:blip r:embed="rId14"/>
                    <a:stretch>
                      <a:fillRect/>
                    </a:stretch>
                  </pic:blipFill>
                  <pic:spPr>
                    <a:xfrm>
                      <a:off x="0" y="0"/>
                      <a:ext cx="5669280" cy="3248689"/>
                    </a:xfrm>
                    <a:prstGeom prst="rect"/>
                  </pic:spPr>
                </pic:pic>
              </a:graphicData>
            </a:graphic>
          </wp:inline>
        </w:drawing>
      </w:r>
    </w:p>
    <w:p>
      <w:pPr>
        <w:jc w:val="center"/>
      </w:pPr>
      <w:r>
        <w:rPr>
          <w:i/>
          <w:sz w:val="17"/>
        </w:rPr>
        <w:t>Figure 6: Net Revenue &amp; Order Volume Contraction</w:t>
      </w:r>
    </w:p>
    <w:p>
      <w:pPr>
        <w:spacing w:after="120"/>
      </w:pPr>
    </w:p>
    <w:p>
      <w:r>
        <w:rPr>
          <w:b/>
          <w:color w:val="2563EB"/>
          <w:sz w:val="22"/>
        </w:rPr>
        <w:t>Observations and Insights:</w:t>
      </w:r>
    </w:p>
    <w:p>
      <w:r>
        <w:rPr>
          <w:b/>
          <w:color w:val="1E293B"/>
        </w:rPr>
        <w:t>Volume Dynamics: This analysis tracks the quarterly velocity of order fulfillment, providing a macro view of business throughput and operational demand.</w:t>
      </w:r>
    </w:p>
    <w:p>
      <w:r>
        <w:rPr>
          <w:b/>
          <w:color w:val="1E293B"/>
        </w:rPr>
        <w:t>Core KPI Integration: By correlating Total Orders with Unique Customer Counts, the data identifies the specific relationship between market reach (customer base) and market depth (order frequency).</w:t>
      </w:r>
    </w:p>
    <w:p>
      <w:r>
        <w:rPr>
          <w:b/>
          <w:color w:val="1E293B"/>
        </w:rPr>
        <w:t>Retention Metrics: The "Orders per Customer" calculation serves as a vital indicator of customer stickiness, distinguishing between one-time buyers and loyal repeat purchasers.</w:t>
      </w:r>
    </w:p>
    <w:p>
      <w:r>
        <w:rPr>
          <w:b/>
          <w:color w:val="1E293B"/>
        </w:rPr>
        <w:t>Growth &amp; Market Traction: (Positive Trajectories) Sustained increases in both unique customers and order volume suggest successful market expansion, high brand reputation, and effective customer acquisition strategies.</w:t>
      </w:r>
    </w:p>
    <w:p>
      <w:r>
        <w:rPr>
          <w:b/>
          <w:color w:val="1E293B"/>
        </w:rPr>
        <w:t>Efficiency Gains: An increase in orders per customer indicates growing loyalty and a higher Customer Lifetime Value (CLV), suggesting that the service is becoming a preferred choice for repeat needs.</w:t>
      </w:r>
    </w:p>
    <w:p>
      <w:r>
        <w:rPr>
          <w:b/>
          <w:color w:val="1E293B"/>
        </w:rPr>
        <w:t>Warning Signals &amp; Attrition: (Engagement Gap) A scenario where the unique customer base remains stable but total orders decline suggests a loss of engagement. Customers are staying "on the books" but are choosing competitors for their actual purchases.</w:t>
      </w:r>
    </w:p>
    <w:p>
      <w:r>
        <w:t>Churn Criticality: A simultaneous decline in unique customers and total orders is a clear signal of customer attrition, likely driven by service dissatisfaction, pricing pressures, or aggressive competitive entry.</w:t>
      </w:r>
    </w:p>
    <w:p>
      <w:r>
        <w:t>External Influences: Fluctuations in quarterly data help the business separate temporary "seasonal effects" or macroeconomic shifts from internal operational failures, allowing for more precise resource allocation.</w:t>
      </w:r>
    </w:p>
    <w:p>
      <w:r>
        <w:t>Strategic Pivot Points:</w:t>
      </w:r>
    </w:p>
    <w:p>
      <w:r>
        <w:t>Retention Focus: If unique customers are dropping, the business must pivot toward loyalty programs and proactive outreach.</w:t>
      </w:r>
    </w:p>
    <w:p>
      <w:r>
        <w:t>Expansion Focus: If orders per customer are high but total volume is low, the business should increase marketing spend to broaden the top-of-funnel customer acquisition.</w:t>
      </w:r>
    </w:p>
    <w:p>
      <w:pPr>
        <w:pStyle w:val="Heading2"/>
      </w:pPr>
      <w:r>
        <w:t>Question 7: Calculate the net revenue generated by the company. What is the quarter-over-quarter % change in net revenue?</w:t>
      </w:r>
    </w:p>
    <w:p>
      <w:r>
        <w:rPr>
          <w:b/>
        </w:rPr>
        <w:t>Solution Query:</w:t>
      </w:r>
    </w:p>
    <w:p>
      <w:pPr>
        <w:ind w:left="288"/>
      </w:pPr>
      <w:r>
        <w:rPr>
          <w:rFonts w:ascii="Consolas" w:hAnsi="Consolas"/>
          <w:sz w:val="17"/>
        </w:rPr>
        <w:t>WITH quarterly_revenue AS (</w:t>
        <w:br/>
        <w:t xml:space="preserve">    SELECT </w:t>
        <w:br/>
        <w:t xml:space="preserve">        quarter_number,</w:t>
        <w:br/>
        <w:t xml:space="preserve">        SUM(quantity * vehicle_price * (1 - discount)) AS net_revenue</w:t>
        <w:br/>
        <w:t xml:space="preserve">    FROM order_t</w:t>
        <w:br/>
        <w:t xml:space="preserve">    GROUP BY quarter_number</w:t>
        <w:br/>
        <w:t>)</w:t>
        <w:br/>
        <w:t xml:space="preserve">SELECT </w:t>
        <w:br/>
        <w:t xml:space="preserve">    quarter_number,</w:t>
        <w:br/>
        <w:t xml:space="preserve">    ROUND(net_revenue, 2) AS net_revenue,</w:t>
        <w:br/>
        <w:t xml:space="preserve">    ROUND(LAG(net_revenue) OVER (ORDER BY quarter_number), 2) AS previous_quarter_revenue,</w:t>
        <w:br/>
        <w:t xml:space="preserve">    ROUND(((net_revenue - LAG(net_revenue) OVER (ORDER BY quarter_number)) / </w:t>
        <w:br/>
        <w:t xml:space="preserve">           LAG(net_revenue) OVER (ORDER BY quarter_number)) * 100, 2) AS qoq_percent_change</w:t>
        <w:br/>
        <w:t>FROM quarterly_revenue</w:t>
        <w:br/>
        <w:t>ORDER BY quarter_number;</w:t>
      </w:r>
    </w:p>
    <w:p>
      <w:r>
        <w:drawing>
          <wp:inline xmlns:a="http://schemas.openxmlformats.org/drawingml/2006/main" xmlns:pic="http://schemas.openxmlformats.org/drawingml/2006/picture">
            <wp:extent cx="5669280" cy="3248689"/>
            <wp:docPr id="7" name="Picture 7"/>
            <wp:cNvGraphicFramePr>
              <a:graphicFrameLocks noChangeAspect="1"/>
            </wp:cNvGraphicFramePr>
            <a:graphic>
              <a:graphicData uri="http://schemas.openxmlformats.org/drawingml/2006/picture">
                <pic:pic>
                  <pic:nvPicPr>
                    <pic:cNvPr id="0" name="06_revenue_and_order_trend.png"/>
                    <pic:cNvPicPr/>
                  </pic:nvPicPr>
                  <pic:blipFill>
                    <a:blip r:embed="rId14"/>
                    <a:stretch>
                      <a:fillRect/>
                    </a:stretch>
                  </pic:blipFill>
                  <pic:spPr>
                    <a:xfrm>
                      <a:off x="0" y="0"/>
                      <a:ext cx="5669280" cy="3248689"/>
                    </a:xfrm>
                    <a:prstGeom prst="rect"/>
                  </pic:spPr>
                </pic:pic>
              </a:graphicData>
            </a:graphic>
          </wp:inline>
        </w:drawing>
      </w:r>
    </w:p>
    <w:p>
      <w:pPr>
        <w:jc w:val="center"/>
      </w:pPr>
      <w:r>
        <w:rPr>
          <w:i/>
          <w:sz w:val="17"/>
        </w:rPr>
        <w:t>Figure 7: Financial Revenue Contraction &amp; QoQ Growth Trend</w:t>
      </w:r>
    </w:p>
    <w:p>
      <w:pPr>
        <w:spacing w:after="120"/>
      </w:pPr>
    </w:p>
    <w:p>
      <w:r>
        <w:rPr>
          <w:b/>
          <w:color w:val="2563EB"/>
          <w:sz w:val="22"/>
        </w:rPr>
        <w:t>Observations and Insights:</w:t>
      </w:r>
    </w:p>
    <w:p>
      <w:r>
        <w:rPr>
          <w:b/>
          <w:color w:val="1E293B"/>
        </w:rPr>
        <w:t>Financial Metric Accuracy: Net Revenue is calculated as</w:t>
      </w:r>
    </w:p>
    <w:p>
      <w:r>
        <w:t>(Quantity x Price) x (1 - Discount)</w:t>
      </w:r>
    </w:p>
    <w:p>
      <w:r>
        <w:t>. This ensures the analysis reflects actual cash inflows by accounting for post-promotional leakage.</w:t>
      </w:r>
    </w:p>
    <w:p>
      <w:r>
        <w:rPr>
          <w:b/>
          <w:color w:val="1E293B"/>
        </w:rPr>
        <w:t>Growth Velocity: The Quarter-over-Quarter (QoQ) percentage change quantifies the business’s momentum. While the first quarter serves as the static baseline (NULL comparison), subsequent periods track the trajectory of financial health.</w:t>
      </w:r>
    </w:p>
    <w:p>
      <w:r>
        <w:rPr>
          <w:b/>
          <w:color w:val="1E293B"/>
        </w:rPr>
        <w:t>Discount Sensitivity: The data captures the impact of price adjustments, allowing us to see if high order volumes are translating into actual revenue or being eroded by excessive discounting.</w:t>
      </w:r>
    </w:p>
    <w:p>
      <w:r>
        <w:rPr>
          <w:b/>
          <w:color w:val="1E293B"/>
        </w:rPr>
        <w:t>Revenue Health Warning: A consistent decline in net revenue is a critical indicator of business health concerns. It is vital to determine if this is a result of lower order volume (market share loss) or increased discounting (margin erosion).</w:t>
      </w:r>
    </w:p>
    <w:p>
      <w:r>
        <w:t>The "Discount Trap": If order volumes are stable but revenue is dropping, it suggests that the current discounting strategy is too aggressive—effectively "buying" sales at the expense of profitability.</w:t>
      </w:r>
    </w:p>
    <w:p>
      <w:r>
        <w:t>Correlative Analysis: (Revenue vs. Satisfaction) A simultaneous drop in revenue and customer satisfaction suggests a fundamental service failure.</w:t>
      </w:r>
    </w:p>
    <w:p>
      <w:r>
        <w:t>Product Mix Profitability: Shifts in revenue may indicate a change in consumer preference toward lower-margin vehicle makers.</w:t>
      </w:r>
    </w:p>
    <w:p>
      <w:r>
        <w:t>Strategic Investigative Priorities:</w:t>
      </w:r>
    </w:p>
    <w:p>
      <w:r>
        <w:t>Pricing Strategy Audit: Re-evaluate the effectiveness of regional price points to ensure they remain competitive without sacrificing the bottom line.</w:t>
      </w:r>
    </w:p>
    <w:p>
      <w:r>
        <w:t>Margin Protection: Investigate the specific impact of "Very Bad" feedback on repeat revenue loss.</w:t>
      </w:r>
    </w:p>
    <w:p>
      <w:r>
        <w:t>Operational Pivot: If the decline is consistent across all quarters, the business must investigate external economic factors or a potential misalignment in the current product portfolio.</w:t>
      </w:r>
    </w:p>
    <w:p>
      <w:pPr>
        <w:pStyle w:val="Heading2"/>
      </w:pPr>
      <w:r>
        <w:t>Question 8: What is the trend of net revenue and orders by quarters?</w:t>
      </w:r>
    </w:p>
    <w:p>
      <w:r>
        <w:rPr>
          <w:b/>
        </w:rPr>
        <w:t>Solution Query:</w:t>
      </w:r>
    </w:p>
    <w:p>
      <w:pPr>
        <w:ind w:left="288"/>
      </w:pPr>
      <w:r>
        <w:rPr>
          <w:rFonts w:ascii="Consolas" w:hAnsi="Consolas"/>
          <w:sz w:val="17"/>
        </w:rPr>
        <w:t xml:space="preserve">SELECT </w:t>
        <w:br/>
        <w:t xml:space="preserve">    quarter_number,</w:t>
        <w:br/>
        <w:t xml:space="preserve">    COUNT(order_id) AS total_orders,</w:t>
        <w:br/>
        <w:t xml:space="preserve">    ROUND(SUM(quantity * vehicle_price * (1 - discount)), 2) AS net_revenue,</w:t>
        <w:br/>
        <w:t xml:space="preserve">    ROUND(AVG(quantity * vehicle_price * (1 - discount)), 2) AS avg_order_value,</w:t>
        <w:br/>
        <w:t xml:space="preserve">    ROUND(SUM(quantity * vehicle_price * (1 - discount)) / COUNT(order_id), 2) AS revenue_per_order</w:t>
        <w:br/>
        <w:t>FROM order_t</w:t>
        <w:br/>
        <w:t>GROUP BY quarter_number</w:t>
        <w:br/>
        <w:t>ORDER BY quarter_number;</w:t>
      </w:r>
    </w:p>
    <w:p>
      <w:r>
        <w:rPr>
          <w:b/>
          <w:color w:val="2563EB"/>
          <w:sz w:val="22"/>
        </w:rPr>
        <w:t>Observations and Insights:</w:t>
      </w:r>
    </w:p>
    <w:p>
      <w:r>
        <w:rPr>
          <w:b/>
          <w:color w:val="1E293B"/>
        </w:rPr>
        <w:t>Unified Performance View: This analysis synchronizes volume metrics (Total Orders) with value metrics (Net Revenue), providing a holistic view of the company's commercial trajectory.</w:t>
      </w:r>
    </w:p>
    <w:p>
      <w:r>
        <w:rPr>
          <w:b/>
          <w:color w:val="1E293B"/>
        </w:rPr>
        <w:t>Average Order Value (AOV) Tracking: By monitoring the ratio of revenue to orders, the query identifies the average transaction size, which is a critical indicator of consumer purchasing power.</w:t>
      </w:r>
    </w:p>
    <w:p>
      <w:r>
        <w:rPr>
          <w:b/>
          <w:color w:val="1E293B"/>
        </w:rPr>
        <w:t>Trend Divergence: The data highlights periods where revenue and order volume move in opposite directions, exposing underlying shifts in pricing or product mix that might otherwise be hidden in a single-metric report.</w:t>
      </w:r>
    </w:p>
    <w:p>
      <w:r>
        <w:rPr>
          <w:b/>
          <w:color w:val="1E293B"/>
        </w:rPr>
        <w:t>Growth Quality Assessment:</w:t>
      </w:r>
    </w:p>
    <w:p>
      <w:r>
        <w:rPr>
          <w:b/>
          <w:color w:val="1E293B"/>
        </w:rPr>
        <w:t>Premium Shift: If revenue increases while order volume declines, it suggests a successful pivot toward higher-value vehicle segments or a "quality over quantity" sales strategy.</w:t>
      </w:r>
    </w:p>
    <w:p>
      <w:r>
        <w:rPr>
          <w:b/>
          <w:color w:val="1E293B"/>
        </w:rPr>
        <w:t>Margin Erosion Warning: An increase in orders accompanied by slower revenue growth is a primary warning sign of margin erosion, likely caused by excessive discounting or a shift toward budget-level inventory.</w:t>
      </w:r>
    </w:p>
    <w:p>
      <w:r>
        <w:rPr>
          <w:b/>
          <w:color w:val="1E293B"/>
        </w:rPr>
        <w:t>The "AOV" Diagnostic:</w:t>
      </w:r>
    </w:p>
    <w:p>
      <w:r>
        <w:t>Increasing AOV: Indicates growing customer confidence or a successful upselling strategy.</w:t>
      </w:r>
    </w:p>
    <w:p>
      <w:r>
        <w:t>Decreasing AOV: Suggests a potentially dangerous shift toward lower-margin products or a desperate reliance on heavy discounting to maintain volume.</w:t>
      </w:r>
    </w:p>
    <w:p>
      <w:r>
        <w:rPr>
          <w:b/>
          <w:color w:val="1E293B"/>
        </w:rPr>
        <w:t>Critical Business Risk: A simultaneous decline in both revenue and order volume represents a "red alert" scenario, indicating both a loss of market share and a failure to extract value from the remaining customer base.</w:t>
      </w:r>
    </w:p>
    <w:p>
      <w:r>
        <w:t>Strategic Implications &amp; Portfolio Optimization:</w:t>
      </w:r>
    </w:p>
    <w:p>
      <w:r>
        <w:t>Volume vs. Value Strategy: These insights help the executive team decide whether to chase market share (Volume) or focus on profitability (Value).</w:t>
      </w:r>
    </w:p>
    <w:p>
      <w:r>
        <w:t>Pricing Power: Stable AOV during volume fluctuations suggests strong pricing power, meaning the brand can maintain its price points even when market demand shifts.</w:t>
      </w:r>
    </w:p>
    <w:p>
      <w:r>
        <w:t>Data Integrity: Ensuring that revenue per order closely tracks AOV acts as an essential "sanity check" for the financial integrity of the sales data.</w:t>
      </w:r>
    </w:p>
    <w:p>
      <w:pPr>
        <w:pStyle w:val="Heading2"/>
      </w:pPr>
      <w:r>
        <w:t>Question 9: What is the average discount offered for different types of credit cards?</w:t>
      </w:r>
    </w:p>
    <w:p>
      <w:r>
        <w:rPr>
          <w:b/>
        </w:rPr>
        <w:t>Solution Query:</w:t>
      </w:r>
    </w:p>
    <w:p>
      <w:pPr>
        <w:ind w:left="288"/>
      </w:pPr>
      <w:r>
        <w:rPr>
          <w:rFonts w:ascii="Consolas" w:hAnsi="Consolas"/>
          <w:sz w:val="17"/>
        </w:rPr>
        <w:t xml:space="preserve">SELECT </w:t>
        <w:br/>
        <w:t xml:space="preserve">    c.credit_card_type,</w:t>
        <w:br/>
        <w:t xml:space="preserve">    COUNT(o.order_id) AS total_orders,</w:t>
        <w:br/>
        <w:t xml:space="preserve">    ROUND(AVG(o.discount), 4) AS avg_discount,</w:t>
        <w:br/>
        <w:t xml:space="preserve">    ROUND(MIN(o.discount), 4) AS min_discount,</w:t>
        <w:br/>
        <w:t xml:space="preserve">    ROUND(MAX(o.discount), 4) AS max_discount,</w:t>
        <w:br/>
        <w:t xml:space="preserve">    ROUND(SUM(o.quantity * o.vehicle_price * o.discount), 2) AS total_discount_amount</w:t>
        <w:br/>
        <w:t>FROM order_t o</w:t>
        <w:br/>
        <w:t>INNER JOIN customer_t c ON o.customer_id = c.customer_id</w:t>
        <w:br/>
        <w:t>GROUP BY c.credit_card_type</w:t>
        <w:br/>
        <w:t>ORDER BY avg_discount DESC;</w:t>
      </w:r>
    </w:p>
    <w:p>
      <w:r>
        <w:drawing>
          <wp:inline xmlns:a="http://schemas.openxmlformats.org/drawingml/2006/main" xmlns:pic="http://schemas.openxmlformats.org/drawingml/2006/picture">
            <wp:extent cx="5669280" cy="3340421"/>
            <wp:docPr id="8" name="Picture 8"/>
            <wp:cNvGraphicFramePr>
              <a:graphicFrameLocks noChangeAspect="1"/>
            </wp:cNvGraphicFramePr>
            <a:graphic>
              <a:graphicData uri="http://schemas.openxmlformats.org/drawingml/2006/picture">
                <pic:pic>
                  <pic:nvPicPr>
                    <pic:cNvPr id="0" name="08_credit_card_discounts.png"/>
                    <pic:cNvPicPr/>
                  </pic:nvPicPr>
                  <pic:blipFill>
                    <a:blip r:embed="rId15"/>
                    <a:stretch>
                      <a:fillRect/>
                    </a:stretch>
                  </pic:blipFill>
                  <pic:spPr>
                    <a:xfrm>
                      <a:off x="0" y="0"/>
                      <a:ext cx="5669280" cy="3340421"/>
                    </a:xfrm>
                    <a:prstGeom prst="rect"/>
                  </pic:spPr>
                </pic:pic>
              </a:graphicData>
            </a:graphic>
          </wp:inline>
        </w:drawing>
      </w:r>
    </w:p>
    <w:p>
      <w:pPr>
        <w:jc w:val="center"/>
      </w:pPr>
      <w:r>
        <w:rPr>
          <w:i/>
          <w:sz w:val="17"/>
        </w:rPr>
        <w:t>Figure 8: Average Discount Rate Across 16 Credit Card Issuers</w:t>
      </w:r>
    </w:p>
    <w:p>
      <w:pPr>
        <w:spacing w:after="120"/>
      </w:pPr>
    </w:p>
    <w:p>
      <w:r>
        <w:rPr>
          <w:b/>
          <w:color w:val="2563EB"/>
          <w:sz w:val="22"/>
        </w:rPr>
        <w:t>Observations and Insights:</w:t>
      </w:r>
    </w:p>
    <w:p>
      <w:r>
        <w:rPr>
          <w:b/>
          <w:color w:val="1E293B"/>
        </w:rPr>
        <w:t>Incentive Mapping: This query investigates the correlation between specific payment methods and average discount rates, revealing whether certain card types receive preferential pricing.</w:t>
      </w:r>
    </w:p>
    <w:p>
      <w:r>
        <w:rPr>
          <w:b/>
          <w:color w:val="1E293B"/>
        </w:rPr>
        <w:t>Segment Identification: By analyzing the variation in discounts across different credit card issuers, the data identifies which payment channels are currently prioritized by marketing and promotional efforts.</w:t>
      </w:r>
    </w:p>
    <w:p>
      <w:r>
        <w:t>Financial Impact Assessment: The "Total Discount Amount" metric quantifies the absolute revenue impact of these payment-specific incentives, moving beyond simple percentages to show actual dollar leakage.</w:t>
      </w:r>
    </w:p>
    <w:p>
      <w:r>
        <w:t>Strategic Partnerships &amp; Promotions:</w:t>
      </w:r>
    </w:p>
    <w:p>
      <w:r>
        <w:t>Issuer Loyalty: High variations in discounts suggest active partnership agreements or co-branded promotional campaigns designed to drive usage for specific card issuers.</w:t>
      </w:r>
    </w:p>
    <w:p>
      <w:r>
        <w:t>Customer Profiling: Usage of premium card types often correlates with high-value customer segments. Preferential discounting here may be a deliberate strategy to attract "big spenders."</w:t>
      </w:r>
    </w:p>
    <w:p>
      <w:r>
        <w:rPr>
          <w:b/>
          <w:color w:val="1E293B"/>
        </w:rPr>
        <w:t>Profitability &amp; Fee Optimization:</w:t>
      </w:r>
    </w:p>
    <w:p>
      <w:r>
        <w:rPr>
          <w:b/>
          <w:color w:val="1E293B"/>
        </w:rPr>
        <w:t>The Transaction Fee Gap: Since processing fees vary significantly by card type, the business must ensure that high discounts are not being stacked on top of high-fee cards, which would create a dual hit to the profit margin.</w:t>
      </w:r>
    </w:p>
    <w:p>
      <w:r>
        <w:t>Consistency Check: A large, unexplained variance in discounts across card types can signal an inconsistent pricing policy that may lead to customer dissatisfaction if perceived as discriminatory.</w:t>
      </w:r>
    </w:p>
    <w:p>
      <w:r>
        <w:t>Risk Identification &amp; Red Flags:</w:t>
      </w:r>
    </w:p>
    <w:p>
      <w:r>
        <w:rPr>
          <w:b/>
          <w:color w:val="1E293B"/>
        </w:rPr>
        <w:t>Margin Pressure: Uniformly high discounts across all payment methods indicate a widespread reliance on price-cutting to drive volume, putting long-term profitability at risk.</w:t>
      </w:r>
    </w:p>
    <w:p>
      <w:r>
        <w:t>Profitability Risk: Significant discounts applied to cards with high merchant fees represent a "negative synergy" that requires immediate strategic review.</w:t>
      </w:r>
    </w:p>
    <w:p>
      <w:pPr>
        <w:pStyle w:val="Heading2"/>
      </w:pPr>
      <w:r>
        <w:t>Question 10: What is the average time taken to ship the placed orders for each quarter?</w:t>
      </w:r>
    </w:p>
    <w:p>
      <w:r>
        <w:rPr>
          <w:b/>
        </w:rPr>
        <w:t>Solution Query:</w:t>
      </w:r>
    </w:p>
    <w:p>
      <w:pPr>
        <w:ind w:left="288"/>
      </w:pPr>
      <w:r>
        <w:rPr>
          <w:rFonts w:ascii="Consolas" w:hAnsi="Consolas"/>
          <w:sz w:val="17"/>
        </w:rPr>
        <w:t xml:space="preserve">SELECT </w:t>
        <w:br/>
        <w:t xml:space="preserve">    quarter_number,</w:t>
        <w:br/>
        <w:t xml:space="preserve">    COUNT(order_id) AS total_orders,</w:t>
        <w:br/>
        <w:t xml:space="preserve">    ROUND(AVG(JULIANDAY(ship_date) - JULIANDAY(order_date)), 2) AS avg_days_to_ship,</w:t>
        <w:br/>
        <w:t xml:space="preserve">    ROUND(MIN(JULIANDAY(ship_date) - JULIANDAY(order_date)), 2) AS min_days_to_ship,</w:t>
        <w:br/>
        <w:t xml:space="preserve">    ROUND(MAX(JULIANDAY(ship_date) - JULIANDAY(order_date)), 2) AS max_days_to_ship</w:t>
        <w:br/>
        <w:t>FROM order_t</w:t>
        <w:br/>
        <w:t>WHERE ship_date IS NOT NULL AND order_date IS NOT NULL</w:t>
        <w:br/>
        <w:t>GROUP BY quarter_number</w:t>
        <w:br/>
        <w:t>ORDER BY quarter_number;</w:t>
      </w:r>
    </w:p>
    <w:p>
      <w:r>
        <w:drawing>
          <wp:inline xmlns:a="http://schemas.openxmlformats.org/drawingml/2006/main" xmlns:pic="http://schemas.openxmlformats.org/drawingml/2006/picture">
            <wp:extent cx="5669280" cy="3248689"/>
            <wp:docPr id="9" name="Picture 9"/>
            <wp:cNvGraphicFramePr>
              <a:graphicFrameLocks noChangeAspect="1"/>
            </wp:cNvGraphicFramePr>
            <a:graphic>
              <a:graphicData uri="http://schemas.openxmlformats.org/drawingml/2006/picture">
                <pic:pic>
                  <pic:nvPicPr>
                    <pic:cNvPr id="0" name="07_shipping_delay_vs_ratings.png"/>
                    <pic:cNvPicPr/>
                  </pic:nvPicPr>
                  <pic:blipFill>
                    <a:blip r:embed="rId16"/>
                    <a:stretch>
                      <a:fillRect/>
                    </a:stretch>
                  </pic:blipFill>
                  <pic:spPr>
                    <a:xfrm>
                      <a:off x="0" y="0"/>
                      <a:ext cx="5669280" cy="3248689"/>
                    </a:xfrm>
                    <a:prstGeom prst="rect"/>
                  </pic:spPr>
                </pic:pic>
              </a:graphicData>
            </a:graphic>
          </wp:inline>
        </w:drawing>
      </w:r>
    </w:p>
    <w:p>
      <w:pPr>
        <w:jc w:val="center"/>
      </w:pPr>
      <w:r>
        <w:rPr>
          <w:i/>
          <w:sz w:val="17"/>
        </w:rPr>
        <w:t>Figure 9: Direct Root-Cause Correlation: Shipping Delay Surge vs. Rating Collapse</w:t>
      </w:r>
    </w:p>
    <w:p>
      <w:pPr>
        <w:spacing w:after="120"/>
      </w:pPr>
    </w:p>
    <w:p>
      <w:r>
        <w:rPr>
          <w:b/>
          <w:color w:val="2563EB"/>
          <w:sz w:val="22"/>
        </w:rPr>
        <w:t>Observations and Insights:</w:t>
      </w:r>
    </w:p>
    <w:p>
      <w:r>
        <w:rPr>
          <w:b/>
          <w:color w:val="1E293B"/>
        </w:rPr>
        <w:t>Logistics Velocity Tracking: This analysis measures the efficiency of the fulfillment cycle by calculating the average, minimum, and maximum days elapsed between order placement and shipment.</w:t>
      </w:r>
    </w:p>
    <w:p>
      <w:r>
        <w:rPr>
          <w:b/>
          <w:color w:val="1E293B"/>
        </w:rPr>
        <w:t>Temporal Performance Trends: By tracking quarterly shifts in shipping duration, the data identifies whether operational efficiency is scaling with business growth or buckling under increased volume.</w:t>
      </w:r>
    </w:p>
    <w:p>
      <w:r>
        <w:t>Service Consistency Metrics: The variance between "Min" and "Max" shipping days highlights the stability of the logistics network. A wide range indicates a lack of standardization and unpredictable customer experiences.</w:t>
      </w:r>
    </w:p>
    <w:p>
      <w:r>
        <w:t>The Satisfaction Correlation: Shipping time is a primary driver of customer sentiment. A direct correlation usually exists between increasing shipment durations and a spike in "Very Bad" feedback, marking logistics as a high-priority improvement target.</w:t>
      </w:r>
    </w:p>
    <w:p>
      <w:r>
        <w:t>Operational Red Flags:</w:t>
      </w:r>
    </w:p>
    <w:p>
      <w:r>
        <w:t>Increasing Lead Times: A quarterly upward trend signals deteriorating logistics performance, potentially caused by warehouse bottlenecks, staffing shortages, or inventory mismanagement.</w:t>
      </w:r>
    </w:p>
    <w:p>
      <w:r>
        <w:t>The 10-Day Threshold: In a competitive market, delays extending beyond 10 days represent a critical failure point that significantly increases the risk of order cancellations and customer attrition.</w:t>
      </w:r>
    </w:p>
    <w:p>
      <w:r>
        <w:rPr>
          <w:b/>
          <w:color w:val="1E293B"/>
        </w:rPr>
        <w:t>Inconsistency &amp; Geographic Gaps: Significant variations in shipping times often point to geographic variability. This suggests a need for better-distributed fulfillment centers or a reassessment of carrier partnerships in underperforming regions.</w:t>
      </w:r>
    </w:p>
    <w:p>
      <w:r>
        <w:rPr>
          <w:b/>
          <w:color w:val="1E293B"/>
        </w:rPr>
        <w:t>Competitive Benchmarking: To maintain a competitive advantage, the business should aim for industry standards—typically 3–5 days for standard fulfillment. Failing to meet these expectations directly feeds into negative reviews and lowers the Customer Lifetime Value (CLV).</w:t>
      </w:r>
    </w:p>
    <w:p>
      <w:r>
        <w:t>Strategic Action Plan:</w:t>
      </w:r>
    </w:p>
    <w:p>
      <w:r>
        <w:rPr>
          <w:b/>
          <w:color w:val="1E293B"/>
        </w:rPr>
        <w:t>Root Cause Analysis: If shipping times are rising alongside negative feedback, the business must audit the "pick-and-pack" process and last-mile delivery partners.</w:t>
      </w:r>
    </w:p>
    <w:p>
      <w:r>
        <w:t>Expectation Management: Implementing real-time tracking and proactive communication for delayed orders can mitigate the impact of logistics friction on final satisfaction scores.</w:t>
      </w:r>
    </w:p>
    <w:p>
      <w:pPr>
        <w:pStyle w:val="Heading1"/>
      </w:pPr>
      <w:r>
        <w:t>Business Metrics Overview</w:t>
      </w:r>
    </w:p>
    <w:p>
      <w:pPr>
        <w:pStyle w:val="Heading1"/>
      </w:pPr>
      <w:r>
        <w:t>Strategic Business Recommendations &amp; Turnaround Playbook</w:t>
      </w:r>
    </w:p>
    <w:p>
      <w:r>
        <w:rPr>
          <w:b/>
          <w:color w:val="1E293B"/>
        </w:rPr>
        <w:t>Logistics and Operational Overhaul (Immediate Priority)</w:t>
      </w:r>
    </w:p>
    <w:p>
      <w:r>
        <w:t>Reduce Fulfillment Latency: The current average shipping time (approx. 98 days) is nearly 20 times the industry standard for standard shipping. This is the primary driver of the 3.14 average rating.</w:t>
      </w:r>
    </w:p>
    <w:p>
      <w:r>
        <w:t>Regional Hub Optimization: Utilize the geographic mapping data to establish localized fulfillment centers in "Revenue Hub" states. This will reduce "Last Mile" costs and drastically lower lead times.</w:t>
      </w:r>
    </w:p>
    <w:p>
      <w:r>
        <w:t>Carrier Accountability: Audit current shipping partners. The wide variance between "Min" and "Max" shipping days indicates a lack of standardization that must be resolved through stricter Service Level Agreements (SLAs).</w:t>
      </w:r>
    </w:p>
    <w:p>
      <w:r>
        <w:rPr>
          <w:b/>
          <w:color w:val="1E293B"/>
        </w:rPr>
        <w:t>Customer Experience and Retention Strategy</w:t>
      </w:r>
    </w:p>
    <w:p>
      <w:r>
        <w:t>Address the "Mediocrity Trap": With less than half of customers providing "Good" feedback, the business must pivot from basic fulfillment to "Excellence Benchmarking."</w:t>
      </w:r>
    </w:p>
    <w:p>
      <w:r>
        <w:t>Proactive Communication: Implement automated tracking updates. Providing transparency during the long shipping cycles can mitigate negative sentiment and reduce the likelihood of "Very Bad" feedback.</w:t>
      </w:r>
    </w:p>
    <w:p>
      <w:r>
        <w:t>Loyalty and Win-Back Programs: Since unique customers are stable but orders are not growing proportionally, launch targeted loyalty campaigns for repeat purchasers to increase the Orders per Customer metric.</w:t>
      </w:r>
    </w:p>
    <w:p>
      <w:r>
        <w:rPr>
          <w:b/>
          <w:color w:val="1E293B"/>
        </w:rPr>
        <w:t>Revenue and Margin Protection</w:t>
      </w:r>
    </w:p>
    <w:p>
      <w:r>
        <w:t>Audit the "Discount Trap": The data suggests that revenue may be eroded by aggressive discounting. Re-evaluate the effectiveness of current price points, specifically those tied to credit card partnerships, to ensure promotions aren't cannibalizing profit.</w:t>
      </w:r>
    </w:p>
    <w:p>
      <w:r>
        <w:t>Premium Segment Pivot: With high-performing makers commanding strong brand equity, focus on a "Value over Volume" strategy. Promote higher-margin vehicle makers in states identified as "Aspirational" or "Luxury" demographics.</w:t>
      </w:r>
    </w:p>
    <w:p>
      <w:r>
        <w:t>Portfolio Optimization: Review the "Underperformer" manufacturers. Divest from brands with consistently low order volume to free up capital for high-velocity inventory.</w:t>
      </w:r>
    </w:p>
    <w:p>
      <w:r>
        <w:rPr>
          <w:b/>
          <w:color w:val="1E293B"/>
        </w:rPr>
        <w:t>Regional and Hyper-Local Marketing</w:t>
      </w:r>
    </w:p>
    <w:p>
      <w:r>
        <w:t>Localized Inventory: Align state-level stock with the "Most Preferred Maker" identified for that region.</w:t>
      </w:r>
    </w:p>
    <w:p>
      <w:r>
        <w:t>Conquest Campaigns: In states where competitive makers are leading, launch targeted "conquest" marketing campaigns focusing on the price-value gap or superior product features.</w:t>
      </w:r>
    </w:p>
    <w:p>
      <w:pPr>
        <w:pStyle w:val="Heading1"/>
      </w:pPr>
      <w:r>
        <w:t>Final Conclusion &amp; Executive Summary</w:t>
      </w:r>
    </w:p>
    <w:p>
      <w:r>
        <w:t>The "New Wheels" business possesses a strong foundation with a multi-million dollar revenue stream and a broad geographic footprint. However, the business is currently hampered by significant logistical inefficiencies and stagnating customer satisfaction.</w:t>
      </w:r>
    </w:p>
    <w:p>
      <w:r>
        <w:t>The path forward requires a dual focus:</w:t>
      </w:r>
    </w:p>
    <w:p>
      <w:r>
        <w:t>Operational Excellence: Fixing the shipping cycle is non-negotiable. Without reducing the 98-day average, customer attrition will eventually outpace new acquisition.</w:t>
      </w:r>
    </w:p>
    <w:p>
      <w:r>
        <w:t>Strategic Financial Management: Transitioning from a discount-heavy model to a brand-centric, high-value model will protect margins and improve the Average Order Value (AOV).</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