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60E8D" w14:textId="77777777" w:rsidR="004C5516" w:rsidRPr="00A50CB6" w:rsidRDefault="004C5516" w:rsidP="004C5516">
      <w:pPr>
        <w:rPr>
          <w:rFonts w:ascii="Times New Roman" w:hAnsi="Times New Roman" w:cs="Times New Roman"/>
          <w:sz w:val="24"/>
          <w:szCs w:val="24"/>
        </w:rPr>
      </w:pPr>
      <w:r w:rsidRPr="00A50CB6">
        <w:rPr>
          <w:rFonts w:ascii="Times New Roman" w:hAnsi="Times New Roman" w:cs="Times New Roman"/>
          <w:b/>
          <w:bCs/>
          <w:sz w:val="24"/>
          <w:szCs w:val="24"/>
        </w:rPr>
        <w:t xml:space="preserve">Understanding </w:t>
      </w:r>
      <w:r w:rsidRPr="00A50CB6">
        <w:rPr>
          <w:rFonts w:ascii="Times New Roman" w:hAnsi="Times New Roman" w:cs="Times New Roman"/>
          <w:b/>
          <w:bCs/>
          <w:sz w:val="40"/>
          <w:szCs w:val="40"/>
        </w:rPr>
        <w:t>Licensing and Intellectual Property Contracts</w:t>
      </w:r>
      <w:r w:rsidRPr="00A50CB6">
        <w:rPr>
          <w:rFonts w:ascii="Times New Roman" w:hAnsi="Times New Roman" w:cs="Times New Roman"/>
          <w:b/>
          <w:bCs/>
          <w:sz w:val="24"/>
          <w:szCs w:val="24"/>
        </w:rPr>
        <w:t>: A Comprehensive Guide</w:t>
      </w:r>
    </w:p>
    <w:p w14:paraId="1DE91808" w14:textId="77777777" w:rsidR="004C5516" w:rsidRPr="00A50CB6" w:rsidRDefault="004C5516" w:rsidP="004C5516">
      <w:pPr>
        <w:rPr>
          <w:rFonts w:ascii="Times New Roman" w:hAnsi="Times New Roman" w:cs="Times New Roman"/>
          <w:sz w:val="24"/>
          <w:szCs w:val="24"/>
        </w:rPr>
      </w:pPr>
      <w:r w:rsidRPr="00A50CB6">
        <w:rPr>
          <w:rFonts w:ascii="Times New Roman" w:hAnsi="Times New Roman" w:cs="Times New Roman"/>
          <w:sz w:val="24"/>
          <w:szCs w:val="24"/>
        </w:rPr>
        <w:t>Intellectual Property (IP) is a critical asset for businesses and individuals, encompassing patents, copyrights, trademarks, and trade secrets. Licensing and intellectual property contracts help protect these valuable assets while allowing their controlled use and commercialization. This guide explores the importance, types, key components, and legal considerations of licensing and intellectual property agreements.</w:t>
      </w:r>
    </w:p>
    <w:p w14:paraId="124BB876"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What is a Licensing and Intellectual Property Contract?</w:t>
      </w:r>
    </w:p>
    <w:p w14:paraId="7DF03A44" w14:textId="77777777" w:rsidR="004C5516" w:rsidRPr="00A50CB6" w:rsidRDefault="004C5516" w:rsidP="004C5516">
      <w:pPr>
        <w:rPr>
          <w:rFonts w:ascii="Times New Roman" w:hAnsi="Times New Roman" w:cs="Times New Roman"/>
          <w:sz w:val="24"/>
          <w:szCs w:val="24"/>
        </w:rPr>
      </w:pPr>
      <w:r w:rsidRPr="00A50CB6">
        <w:rPr>
          <w:rFonts w:ascii="Times New Roman" w:hAnsi="Times New Roman" w:cs="Times New Roman"/>
          <w:sz w:val="24"/>
          <w:szCs w:val="24"/>
        </w:rPr>
        <w:t xml:space="preserve">A licensing and intellectual property contract </w:t>
      </w:r>
      <w:proofErr w:type="gramStart"/>
      <w:r w:rsidRPr="00A50CB6">
        <w:rPr>
          <w:rFonts w:ascii="Times New Roman" w:hAnsi="Times New Roman" w:cs="Times New Roman"/>
          <w:sz w:val="24"/>
          <w:szCs w:val="24"/>
        </w:rPr>
        <w:t>is</w:t>
      </w:r>
      <w:proofErr w:type="gramEnd"/>
      <w:r w:rsidRPr="00A50CB6">
        <w:rPr>
          <w:rFonts w:ascii="Times New Roman" w:hAnsi="Times New Roman" w:cs="Times New Roman"/>
          <w:sz w:val="24"/>
          <w:szCs w:val="24"/>
        </w:rPr>
        <w:t xml:space="preserve"> a legal agreement between an IP owner (licensor) and another party (licensee) that grants permission to use, distribute, or commercialize an IP asset under specific terms. These agreements ensure that the IP holder retains ownership while allowing the licensee to benefit from its use.</w:t>
      </w:r>
    </w:p>
    <w:p w14:paraId="03F833C6"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Importance of Licensing and Intellectual Property Contracts</w:t>
      </w:r>
    </w:p>
    <w:p w14:paraId="63E6EA26" w14:textId="77777777" w:rsidR="004C5516" w:rsidRPr="00A50CB6" w:rsidRDefault="004C5516" w:rsidP="004C5516">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Legal Protection – Safeguards IP rights and prevents unauthorized use.</w:t>
      </w:r>
    </w:p>
    <w:p w14:paraId="2CB1AEFD" w14:textId="77777777" w:rsidR="004C5516" w:rsidRPr="00A50CB6" w:rsidRDefault="004C5516" w:rsidP="004C5516">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Revenue Generation – Allows IP owners to monetize their assets through licensing fees and royalties.</w:t>
      </w:r>
    </w:p>
    <w:p w14:paraId="3792EB10" w14:textId="77777777" w:rsidR="004C5516" w:rsidRPr="00A50CB6" w:rsidRDefault="004C5516" w:rsidP="004C5516">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Market Expansion – Enables businesses to expand into new markets by licensing IP to local partners.</w:t>
      </w:r>
    </w:p>
    <w:p w14:paraId="1A50A5C6" w14:textId="77777777" w:rsidR="004C5516" w:rsidRPr="00A50CB6" w:rsidRDefault="004C5516" w:rsidP="004C5516">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Innovation Promotion – Encourages collaboration and technology sharing while maintaining ownership rights.</w:t>
      </w:r>
    </w:p>
    <w:p w14:paraId="22F4520E" w14:textId="77777777" w:rsidR="004C5516" w:rsidRPr="00A50CB6" w:rsidRDefault="004C5516" w:rsidP="004C5516">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Risk Management – Reduces legal risks by defining terms of use and liabilities.</w:t>
      </w:r>
    </w:p>
    <w:p w14:paraId="11FCB49C"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Types of Licensing and Intellectual Property Contracts</w:t>
      </w:r>
    </w:p>
    <w:p w14:paraId="26A99020" w14:textId="77777777" w:rsidR="004C5516" w:rsidRPr="00A50CB6" w:rsidRDefault="004C5516" w:rsidP="004C5516">
      <w:pPr>
        <w:rPr>
          <w:rFonts w:ascii="Times New Roman" w:hAnsi="Times New Roman" w:cs="Times New Roman"/>
          <w:sz w:val="24"/>
          <w:szCs w:val="24"/>
        </w:rPr>
      </w:pPr>
      <w:r w:rsidRPr="00A50CB6">
        <w:rPr>
          <w:rFonts w:ascii="Times New Roman" w:hAnsi="Times New Roman" w:cs="Times New Roman"/>
          <w:sz w:val="24"/>
          <w:szCs w:val="24"/>
        </w:rPr>
        <w:t>Depending on the type of IP involved, licensing agreements may take different forms:</w:t>
      </w:r>
    </w:p>
    <w:p w14:paraId="520AF217" w14:textId="77777777" w:rsidR="004C5516" w:rsidRPr="00A50CB6" w:rsidRDefault="004C5516" w:rsidP="004C5516">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Patent Licensing Agreement – Grants permission to manufacture, use, or sell a patented invention.</w:t>
      </w:r>
    </w:p>
    <w:p w14:paraId="08F64DBA" w14:textId="77777777" w:rsidR="004C5516" w:rsidRPr="00A50CB6" w:rsidRDefault="004C5516" w:rsidP="004C5516">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Trademark Licensing Agreement – Allows the licensee to use a registered trademark while maintaining brand integrity.</w:t>
      </w:r>
    </w:p>
    <w:p w14:paraId="6C10853A" w14:textId="77777777" w:rsidR="004C5516" w:rsidRPr="00A50CB6" w:rsidRDefault="004C5516" w:rsidP="004C5516">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Copyright Licensing Agreement – Permits the reproduction, distribution, or modification of copyrighted content such as books, music, and software.</w:t>
      </w:r>
    </w:p>
    <w:p w14:paraId="50D3E5CD" w14:textId="77777777" w:rsidR="004C5516" w:rsidRPr="00A50CB6" w:rsidRDefault="004C5516" w:rsidP="004C5516">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Technology Licensing Agreement – Transfers rights to use a specific technology, often seen in software and research collaborations.</w:t>
      </w:r>
    </w:p>
    <w:p w14:paraId="6C23BA51" w14:textId="77777777" w:rsidR="004C5516" w:rsidRPr="00A50CB6" w:rsidRDefault="004C5516" w:rsidP="004C5516">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Trade Secret Licensing Agreement – Regulates the use of confidential business information.</w:t>
      </w:r>
    </w:p>
    <w:p w14:paraId="31AFB541" w14:textId="77777777" w:rsidR="004C5516" w:rsidRPr="00A50CB6" w:rsidRDefault="004C5516" w:rsidP="004C5516">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Franchise Agreement – A form of licensing that allows a franchisee to operate a business using the franchisor’s branding and business model.</w:t>
      </w:r>
    </w:p>
    <w:p w14:paraId="3CC953F5" w14:textId="77777777" w:rsidR="004C5516" w:rsidRPr="00A50CB6" w:rsidRDefault="004C5516" w:rsidP="004C5516">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lastRenderedPageBreak/>
        <w:t>Exclusive vs. Non-Exclusive Licensing Agreements – Specifies whether the licensee has sole rights (exclusive) or if multiple entities can use the IP (non-exclusive).</w:t>
      </w:r>
    </w:p>
    <w:p w14:paraId="12A6B393"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Key Elements of a Licensing and Intellectual Property Contract</w:t>
      </w:r>
    </w:p>
    <w:p w14:paraId="2043D284" w14:textId="77777777" w:rsidR="004C5516" w:rsidRPr="00A50CB6" w:rsidRDefault="004C5516" w:rsidP="004C5516">
      <w:pPr>
        <w:rPr>
          <w:rFonts w:ascii="Times New Roman" w:hAnsi="Times New Roman" w:cs="Times New Roman"/>
          <w:sz w:val="24"/>
          <w:szCs w:val="24"/>
        </w:rPr>
      </w:pPr>
      <w:r w:rsidRPr="00A50CB6">
        <w:rPr>
          <w:rFonts w:ascii="Times New Roman" w:hAnsi="Times New Roman" w:cs="Times New Roman"/>
          <w:sz w:val="24"/>
          <w:szCs w:val="24"/>
        </w:rPr>
        <w:t>A strong IP licensing contract should include:</w:t>
      </w:r>
    </w:p>
    <w:p w14:paraId="64EFC9B3"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Identification of the Parties – Names and legal details of the licensor and licensee.</w:t>
      </w:r>
    </w:p>
    <w:p w14:paraId="5E19B742"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Scope of the License – Defines what rights are granted (e.g., usage, modification, distribution).</w:t>
      </w:r>
    </w:p>
    <w:p w14:paraId="1B985A03"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Duration of the Agreement – Specifies the time period for which the license is valid.</w:t>
      </w:r>
    </w:p>
    <w:p w14:paraId="3EC1E24F"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Territorial Rights – Defines the geographical regions where the license applies.</w:t>
      </w:r>
    </w:p>
    <w:p w14:paraId="2F13B389"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Compensation and Royalties – Details payment structure, licensing fees, and revenue-sharing terms.</w:t>
      </w:r>
    </w:p>
    <w:p w14:paraId="21DB6983"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Quality Control Measures – Ensures compliance with brand or product standards.</w:t>
      </w:r>
    </w:p>
    <w:p w14:paraId="796B78CA"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Confidentiality Clauses – Protects trade secrets and sensitive business information.</w:t>
      </w:r>
    </w:p>
    <w:p w14:paraId="2B05D20C"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Intellectual Property Ownership – Clarifies that ownership remains with the licensor.</w:t>
      </w:r>
    </w:p>
    <w:p w14:paraId="1957E928"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Termination and Renewal Terms – Outlines conditions under which the agreement can be terminated or renewed.</w:t>
      </w:r>
    </w:p>
    <w:p w14:paraId="5C98725B" w14:textId="77777777" w:rsidR="004C5516" w:rsidRPr="00A50CB6" w:rsidRDefault="004C5516" w:rsidP="004C5516">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Dispute Resolution Mechanisms – Defines how conflicts will be resolved (e.g., arbitration, mediation, legal action).</w:t>
      </w:r>
    </w:p>
    <w:p w14:paraId="5F67EA31"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Required Documents for Licensing and Intellectual Property Agreements</w:t>
      </w:r>
    </w:p>
    <w:p w14:paraId="3090518A" w14:textId="77777777" w:rsidR="004C5516" w:rsidRPr="00A50CB6" w:rsidRDefault="004C5516" w:rsidP="004C5516">
      <w:pPr>
        <w:rPr>
          <w:rFonts w:ascii="Times New Roman" w:hAnsi="Times New Roman" w:cs="Times New Roman"/>
          <w:sz w:val="24"/>
          <w:szCs w:val="24"/>
        </w:rPr>
      </w:pPr>
      <w:r w:rsidRPr="00A50CB6">
        <w:rPr>
          <w:rFonts w:ascii="Times New Roman" w:hAnsi="Times New Roman" w:cs="Times New Roman"/>
          <w:sz w:val="24"/>
          <w:szCs w:val="24"/>
        </w:rPr>
        <w:t>When entering into an IP licensing contract, the following documents are often required:</w:t>
      </w:r>
    </w:p>
    <w:p w14:paraId="2B94D8A7" w14:textId="77777777" w:rsidR="004C5516" w:rsidRPr="00A50CB6" w:rsidRDefault="004C5516" w:rsidP="004C5516">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Licensing Agreement – The formal document outlining the terms and conditions.</w:t>
      </w:r>
    </w:p>
    <w:p w14:paraId="08483705" w14:textId="77777777" w:rsidR="004C5516" w:rsidRPr="00A50CB6" w:rsidRDefault="004C5516" w:rsidP="004C5516">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Proof of IP Ownership – Patent certificates, trademark registrations, or copyright documents.</w:t>
      </w:r>
    </w:p>
    <w:p w14:paraId="55735EB5" w14:textId="77777777" w:rsidR="004C5516" w:rsidRPr="00A50CB6" w:rsidRDefault="004C5516" w:rsidP="004C5516">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Non-Disclosure Agreement (NDA) – Ensures confidentiality during negotiations and beyond.</w:t>
      </w:r>
    </w:p>
    <w:p w14:paraId="46051FD1" w14:textId="77777777" w:rsidR="004C5516" w:rsidRPr="00A50CB6" w:rsidRDefault="004C5516" w:rsidP="004C5516">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Due Diligence Reports – Verifies the legitimacy and enforceability of the IP rights.</w:t>
      </w:r>
    </w:p>
    <w:p w14:paraId="4DA27B81" w14:textId="77777777" w:rsidR="004C5516" w:rsidRPr="00A50CB6" w:rsidRDefault="004C5516" w:rsidP="004C5516">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Financial Agreements – Documentation detailing payments, royalties, and profit-sharing terms.</w:t>
      </w:r>
    </w:p>
    <w:p w14:paraId="6D68D0E3" w14:textId="77777777" w:rsidR="004C5516" w:rsidRPr="00A50CB6" w:rsidRDefault="004C5516" w:rsidP="004C5516">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Regulatory Compliance Documents – Ensures adherence to industry and legal requirements.</w:t>
      </w:r>
    </w:p>
    <w:p w14:paraId="69228A2D" w14:textId="77777777" w:rsidR="004C5516" w:rsidRPr="00A50CB6" w:rsidRDefault="004C5516" w:rsidP="004C5516">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Indemnity Agreements – Protects parties from legal liabilities related to IP misuse.</w:t>
      </w:r>
    </w:p>
    <w:p w14:paraId="6D1BC7F9"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Legal Considerations for Licensing and Intellectual Property Contracts</w:t>
      </w:r>
    </w:p>
    <w:p w14:paraId="5DD37D50" w14:textId="77777777" w:rsidR="004C5516" w:rsidRPr="00A50CB6" w:rsidRDefault="004C5516" w:rsidP="004C5516">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IP Registration and Validity – Ensure that the IP is properly registered and enforceable.</w:t>
      </w:r>
    </w:p>
    <w:p w14:paraId="157B4899" w14:textId="77777777" w:rsidR="004C5516" w:rsidRPr="00A50CB6" w:rsidRDefault="004C5516" w:rsidP="004C5516">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lastRenderedPageBreak/>
        <w:t>Jurisdiction and Governing Law – Define which country’s laws will apply to the agreement.</w:t>
      </w:r>
    </w:p>
    <w:p w14:paraId="359CC397" w14:textId="77777777" w:rsidR="004C5516" w:rsidRPr="00A50CB6" w:rsidRDefault="004C5516" w:rsidP="004C5516">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Renewal and Termination Clauses – Protects both parties in case of contract expiration or breaches.</w:t>
      </w:r>
    </w:p>
    <w:p w14:paraId="5A083F90" w14:textId="77777777" w:rsidR="004C5516" w:rsidRPr="00A50CB6" w:rsidRDefault="004C5516" w:rsidP="004C5516">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Cross-Border Licensing Compliance – Adhere to international IP regulations if licensing overseas.</w:t>
      </w:r>
    </w:p>
    <w:p w14:paraId="097B4AA3" w14:textId="77777777" w:rsidR="004C5516" w:rsidRPr="00A50CB6" w:rsidRDefault="004C5516" w:rsidP="004C5516">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Licensor’s Right to Audit – Allows monitoring of IP use and royalty calculations.</w:t>
      </w:r>
    </w:p>
    <w:p w14:paraId="59EB0217"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Best Practices for Drafting a Licensing and Intellectual Property Contract</w:t>
      </w:r>
    </w:p>
    <w:p w14:paraId="27BC1302" w14:textId="77777777" w:rsidR="004C5516" w:rsidRPr="00A50CB6" w:rsidRDefault="004C5516" w:rsidP="004C5516">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Clearly define the rights and obligations of each party.</w:t>
      </w:r>
    </w:p>
    <w:p w14:paraId="753207B8" w14:textId="77777777" w:rsidR="004C5516" w:rsidRPr="00A50CB6" w:rsidRDefault="004C5516" w:rsidP="004C5516">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Specify the financial terms, including royalties and penalties.</w:t>
      </w:r>
    </w:p>
    <w:p w14:paraId="1B5F0F70" w14:textId="77777777" w:rsidR="004C5516" w:rsidRPr="00A50CB6" w:rsidRDefault="004C5516" w:rsidP="004C5516">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Establish strict confidentiality clauses to protect sensitive information.</w:t>
      </w:r>
    </w:p>
    <w:p w14:paraId="28DFFD40" w14:textId="77777777" w:rsidR="004C5516" w:rsidRPr="00A50CB6" w:rsidRDefault="004C5516" w:rsidP="004C5516">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Include provisions for quality control and brand integrity.</w:t>
      </w:r>
    </w:p>
    <w:p w14:paraId="3403579E" w14:textId="77777777" w:rsidR="004C5516" w:rsidRPr="00A50CB6" w:rsidRDefault="004C5516" w:rsidP="004C5516">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Consult a legal expert to ensure compliance with IP laws.</w:t>
      </w:r>
    </w:p>
    <w:p w14:paraId="7F451A4B" w14:textId="77777777" w:rsidR="004C5516" w:rsidRPr="00A50CB6" w:rsidRDefault="004C5516" w:rsidP="004C5516">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190E9D8B" w14:textId="77777777" w:rsidR="004C5516" w:rsidRPr="00A50CB6" w:rsidRDefault="004C5516" w:rsidP="004C5516">
      <w:pPr>
        <w:rPr>
          <w:rFonts w:ascii="Times New Roman" w:hAnsi="Times New Roman" w:cs="Times New Roman"/>
          <w:sz w:val="24"/>
          <w:szCs w:val="24"/>
        </w:rPr>
      </w:pPr>
      <w:r w:rsidRPr="00A50CB6">
        <w:rPr>
          <w:rFonts w:ascii="Times New Roman" w:hAnsi="Times New Roman" w:cs="Times New Roman"/>
          <w:sz w:val="24"/>
          <w:szCs w:val="24"/>
        </w:rPr>
        <w:t>Licensing and intellectual property contracts play a crucial role in protecting and commercializing intellectual assets. Whether you are an IP owner seeking to monetize your creation or a business looking to acquire usage rights, having a well-structured contract ensures a smooth and legally secure transaction. Seeking professional legal assistance when drafting these agreements is essential to avoid disputes and maximize benefits.</w:t>
      </w:r>
    </w:p>
    <w:p w14:paraId="60BE9F5B" w14:textId="77777777" w:rsidR="004C5516" w:rsidRPr="00A50CB6" w:rsidRDefault="004C5516" w:rsidP="004C5516">
      <w:pPr>
        <w:rPr>
          <w:rFonts w:ascii="Times New Roman" w:hAnsi="Times New Roman" w:cs="Times New Roman"/>
          <w:sz w:val="24"/>
          <w:szCs w:val="24"/>
        </w:rPr>
      </w:pPr>
    </w:p>
    <w:p w14:paraId="3719C03A"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E5863"/>
    <w:multiLevelType w:val="multilevel"/>
    <w:tmpl w:val="28C8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A3CAF"/>
    <w:multiLevelType w:val="multilevel"/>
    <w:tmpl w:val="939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E56FB"/>
    <w:multiLevelType w:val="multilevel"/>
    <w:tmpl w:val="61AA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5510C"/>
    <w:multiLevelType w:val="multilevel"/>
    <w:tmpl w:val="19A0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72FFF"/>
    <w:multiLevelType w:val="multilevel"/>
    <w:tmpl w:val="002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25663"/>
    <w:multiLevelType w:val="multilevel"/>
    <w:tmpl w:val="B3B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904083">
    <w:abstractNumId w:val="1"/>
  </w:num>
  <w:num w:numId="2" w16cid:durableId="175582511">
    <w:abstractNumId w:val="0"/>
  </w:num>
  <w:num w:numId="3" w16cid:durableId="992683197">
    <w:abstractNumId w:val="2"/>
  </w:num>
  <w:num w:numId="4" w16cid:durableId="1764717090">
    <w:abstractNumId w:val="3"/>
  </w:num>
  <w:num w:numId="5" w16cid:durableId="1694068038">
    <w:abstractNumId w:val="5"/>
  </w:num>
  <w:num w:numId="6" w16cid:durableId="1546327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16"/>
    <w:rsid w:val="00281BE8"/>
    <w:rsid w:val="004C5516"/>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D177"/>
  <w15:chartTrackingRefBased/>
  <w15:docId w15:val="{8816CFFC-CF1E-463B-A4FE-4B5BFA21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2025-03-31T10:30:00Z</dcterms:created>
  <dcterms:modified xsi:type="dcterms:W3CDTF">2025-03-31T10:30:00Z</dcterms:modified>
</cp:coreProperties>
</file>