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C029B" w14:textId="77777777" w:rsidR="0007182A" w:rsidRPr="00A50CB6" w:rsidRDefault="0007182A" w:rsidP="0007182A">
      <w:pPr>
        <w:rPr>
          <w:rFonts w:ascii="Times New Roman" w:hAnsi="Times New Roman" w:cs="Times New Roman"/>
          <w:b/>
          <w:bCs/>
          <w:sz w:val="24"/>
          <w:szCs w:val="24"/>
        </w:rPr>
      </w:pPr>
      <w:r w:rsidRPr="00A50CB6">
        <w:rPr>
          <w:rFonts w:ascii="Times New Roman" w:hAnsi="Times New Roman" w:cs="Times New Roman"/>
          <w:b/>
          <w:bCs/>
          <w:sz w:val="40"/>
          <w:szCs w:val="40"/>
        </w:rPr>
        <w:t>Marketing &amp; Advertisement Agreement</w:t>
      </w:r>
      <w:r w:rsidRPr="00A50CB6">
        <w:rPr>
          <w:rFonts w:ascii="Times New Roman" w:hAnsi="Times New Roman" w:cs="Times New Roman"/>
          <w:b/>
          <w:bCs/>
          <w:sz w:val="24"/>
          <w:szCs w:val="24"/>
        </w:rPr>
        <w:t>: A Comprehensive Guide</w:t>
      </w:r>
    </w:p>
    <w:p w14:paraId="792CA3CF"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A Marketing &amp; Advertisement Agreement is a legally binding contract between two parties—typically a business (the client) and a marketing agency or advertiser. This agreement outlines the scope, terms, and conditions of marketing and advertising services, ensuring both parties understand their rights and obligations.</w:t>
      </w:r>
    </w:p>
    <w:p w14:paraId="4095428C" w14:textId="77777777" w:rsidR="0007182A" w:rsidRPr="00A50CB6" w:rsidRDefault="0007182A" w:rsidP="0007182A">
      <w:pPr>
        <w:rPr>
          <w:rFonts w:ascii="Times New Roman" w:hAnsi="Times New Roman" w:cs="Times New Roman"/>
          <w:b/>
          <w:bCs/>
          <w:sz w:val="24"/>
          <w:szCs w:val="24"/>
        </w:rPr>
      </w:pPr>
      <w:r w:rsidRPr="00A50CB6">
        <w:rPr>
          <w:rFonts w:ascii="Times New Roman" w:hAnsi="Times New Roman" w:cs="Times New Roman"/>
          <w:b/>
          <w:bCs/>
          <w:sz w:val="24"/>
          <w:szCs w:val="24"/>
        </w:rPr>
        <w:t>Key Elements of a Marketing &amp; Advertisement Agreement</w:t>
      </w:r>
    </w:p>
    <w:p w14:paraId="3926CE1A"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1. Identification of Parties Involved</w:t>
      </w:r>
    </w:p>
    <w:p w14:paraId="20BD7BBC"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The agreement should clearly specify the names and roles of the parties involved, such as the advertiser, marketing agency, media company, or brand owner.</w:t>
      </w:r>
    </w:p>
    <w:p w14:paraId="2040AF4B"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2. Scope of Services</w:t>
      </w:r>
    </w:p>
    <w:p w14:paraId="6C919B79"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This section defines the nature and extent of marketing and advertising services, including:</w:t>
      </w:r>
    </w:p>
    <w:p w14:paraId="290658E2" w14:textId="77777777" w:rsidR="0007182A" w:rsidRPr="00A50CB6" w:rsidRDefault="0007182A" w:rsidP="0007182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Digital Marketing – Social media management, SEO, PPC campaigns, content marketing, etc.</w:t>
      </w:r>
    </w:p>
    <w:p w14:paraId="738CAD8A" w14:textId="77777777" w:rsidR="0007182A" w:rsidRPr="00A50CB6" w:rsidRDefault="0007182A" w:rsidP="0007182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Traditional Advertising – Print, television, radio, and billboard advertisements.</w:t>
      </w:r>
    </w:p>
    <w:p w14:paraId="76EA865C" w14:textId="77777777" w:rsidR="0007182A" w:rsidRPr="00A50CB6" w:rsidRDefault="0007182A" w:rsidP="0007182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Brand Promotion – Influencer marketing, sponsorships, and PR campaigns.</w:t>
      </w:r>
    </w:p>
    <w:p w14:paraId="1E3161BF" w14:textId="77777777" w:rsidR="0007182A" w:rsidRPr="00A50CB6" w:rsidRDefault="0007182A" w:rsidP="0007182A">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Campaign Deliverables – Specific goals such as lead generation, sales, or audience engagement.</w:t>
      </w:r>
    </w:p>
    <w:p w14:paraId="677FACA2"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3. Payment Terms &amp; Fees</w:t>
      </w:r>
    </w:p>
    <w:p w14:paraId="280EB14C"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The agreement should clearly define the financial aspects, including:</w:t>
      </w:r>
    </w:p>
    <w:p w14:paraId="56B48068" w14:textId="77777777" w:rsidR="0007182A" w:rsidRPr="00A50CB6" w:rsidRDefault="0007182A" w:rsidP="0007182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Service Fees – Fixed payments, commission-based fees, or performance-based pricing.</w:t>
      </w:r>
    </w:p>
    <w:p w14:paraId="65AF00C7" w14:textId="77777777" w:rsidR="0007182A" w:rsidRPr="00A50CB6" w:rsidRDefault="0007182A" w:rsidP="0007182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Billing Schedule – One-time payment, milestone-based, or recurring invoices.</w:t>
      </w:r>
    </w:p>
    <w:p w14:paraId="05BDBAD2" w14:textId="77777777" w:rsidR="0007182A" w:rsidRPr="00A50CB6" w:rsidRDefault="0007182A" w:rsidP="0007182A">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Reimbursement – Costs incurred for ad placements, creative production, or third-party services.</w:t>
      </w:r>
    </w:p>
    <w:p w14:paraId="5AB4CCAD"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4. Intellectual Property &amp; Content Rights</w:t>
      </w:r>
    </w:p>
    <w:p w14:paraId="651CE023" w14:textId="77777777" w:rsidR="0007182A" w:rsidRPr="00A50CB6" w:rsidRDefault="0007182A" w:rsidP="0007182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Ownership of Marketing Materials – Determines whether the client or agency retains rights over created content.</w:t>
      </w:r>
    </w:p>
    <w:p w14:paraId="1FCF9002" w14:textId="77777777" w:rsidR="0007182A" w:rsidRPr="00A50CB6" w:rsidRDefault="0007182A" w:rsidP="0007182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Usage Rights – Defines how and where marketing materials can be used.</w:t>
      </w:r>
    </w:p>
    <w:p w14:paraId="78D468C7" w14:textId="77777777" w:rsidR="0007182A" w:rsidRPr="00A50CB6" w:rsidRDefault="0007182A" w:rsidP="0007182A">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Trademark &amp; Copyright Compliance – Ensures that all advertisements comply with intellectual property laws.</w:t>
      </w:r>
    </w:p>
    <w:p w14:paraId="07C48226"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 xml:space="preserve">5. Confidentiality &amp; </w:t>
      </w:r>
      <w:proofErr w:type="gramStart"/>
      <w:r w:rsidRPr="00A50CB6">
        <w:rPr>
          <w:rFonts w:ascii="Times New Roman" w:hAnsi="Times New Roman" w:cs="Times New Roman"/>
          <w:sz w:val="24"/>
          <w:szCs w:val="24"/>
        </w:rPr>
        <w:t>Non-Disclosure</w:t>
      </w:r>
      <w:proofErr w:type="gramEnd"/>
    </w:p>
    <w:p w14:paraId="18C195FE"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A confidentiality clause prevents the unauthorized sharing of sensitive business information, marketing strategies, and trade secrets.</w:t>
      </w:r>
    </w:p>
    <w:p w14:paraId="55A3EEDD"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lastRenderedPageBreak/>
        <w:t>6. Compliance with Advertising Laws</w:t>
      </w:r>
    </w:p>
    <w:p w14:paraId="0D0F79F7"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The agreement must ensure compliance with relevant advertising regulations (such as FTC guidelines, GDPR, or consumer protection laws) to avoid legal issues.</w:t>
      </w:r>
    </w:p>
    <w:p w14:paraId="25C6BEDE"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7. Performance Metrics &amp; Reporting</w:t>
      </w:r>
    </w:p>
    <w:p w14:paraId="5494FEB9" w14:textId="77777777" w:rsidR="0007182A" w:rsidRPr="00A50CB6" w:rsidRDefault="0007182A" w:rsidP="0007182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Key Performance Indicators (KPIs) – Defines how success will be measured (e.g., ROI, conversion rates, audience reach).</w:t>
      </w:r>
    </w:p>
    <w:p w14:paraId="72FCE242" w14:textId="77777777" w:rsidR="0007182A" w:rsidRPr="00A50CB6" w:rsidRDefault="0007182A" w:rsidP="0007182A">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Reporting Obligations – Specifies frequency and format of campaign performance reports.</w:t>
      </w:r>
    </w:p>
    <w:p w14:paraId="6A81031F"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8. Termination &amp; Dispute Resolution</w:t>
      </w:r>
    </w:p>
    <w:p w14:paraId="7261B3EB" w14:textId="77777777" w:rsidR="0007182A" w:rsidRPr="00A50CB6" w:rsidRDefault="0007182A" w:rsidP="0007182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 xml:space="preserve">Termination Clause – Conditions under which the agreement can be </w:t>
      </w:r>
      <w:proofErr w:type="spellStart"/>
      <w:r w:rsidRPr="00A50CB6">
        <w:rPr>
          <w:rFonts w:ascii="Times New Roman" w:hAnsi="Times New Roman" w:cs="Times New Roman"/>
          <w:sz w:val="24"/>
          <w:szCs w:val="24"/>
        </w:rPr>
        <w:t>canceled</w:t>
      </w:r>
      <w:proofErr w:type="spellEnd"/>
      <w:r w:rsidRPr="00A50CB6">
        <w:rPr>
          <w:rFonts w:ascii="Times New Roman" w:hAnsi="Times New Roman" w:cs="Times New Roman"/>
          <w:sz w:val="24"/>
          <w:szCs w:val="24"/>
        </w:rPr>
        <w:t>.</w:t>
      </w:r>
    </w:p>
    <w:p w14:paraId="294041A6" w14:textId="77777777" w:rsidR="0007182A" w:rsidRPr="00A50CB6" w:rsidRDefault="0007182A" w:rsidP="0007182A">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Dispute Resolution – Defines mediation, arbitration, or legal actions in case of conflicts.</w:t>
      </w:r>
    </w:p>
    <w:p w14:paraId="212339C6" w14:textId="77777777" w:rsidR="0007182A" w:rsidRPr="00A50CB6" w:rsidRDefault="0007182A" w:rsidP="0007182A">
      <w:pPr>
        <w:rPr>
          <w:rFonts w:ascii="Times New Roman" w:hAnsi="Times New Roman" w:cs="Times New Roman"/>
          <w:b/>
          <w:bCs/>
          <w:sz w:val="24"/>
          <w:szCs w:val="24"/>
        </w:rPr>
      </w:pPr>
      <w:r w:rsidRPr="00A50CB6">
        <w:rPr>
          <w:rFonts w:ascii="Times New Roman" w:hAnsi="Times New Roman" w:cs="Times New Roman"/>
          <w:b/>
          <w:bCs/>
          <w:sz w:val="24"/>
          <w:szCs w:val="24"/>
        </w:rPr>
        <w:t>Benefits of a Marketing &amp; Advertisement Agreement</w:t>
      </w:r>
    </w:p>
    <w:p w14:paraId="5F6C2ACF" w14:textId="77777777" w:rsidR="0007182A" w:rsidRPr="00A50CB6" w:rsidRDefault="0007182A" w:rsidP="0007182A">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Ensures transparency in business relationships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Defines clear roles, expectations, and deliverables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Prevents misunderstandings and legal disputes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Protects intellectual property and brand reputation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Ensures compliance with advertising laws and regulations</w:t>
      </w:r>
    </w:p>
    <w:p w14:paraId="53B324C9" w14:textId="77777777" w:rsidR="0007182A" w:rsidRPr="00A50CB6" w:rsidRDefault="0007182A" w:rsidP="0007182A">
      <w:pPr>
        <w:rPr>
          <w:rFonts w:ascii="Times New Roman" w:hAnsi="Times New Roman" w:cs="Times New Roman"/>
          <w:b/>
          <w:bCs/>
          <w:sz w:val="24"/>
          <w:szCs w:val="24"/>
        </w:rPr>
      </w:pPr>
      <w:r w:rsidRPr="00A50CB6">
        <w:rPr>
          <w:rFonts w:ascii="Times New Roman" w:hAnsi="Times New Roman" w:cs="Times New Roman"/>
          <w:b/>
          <w:bCs/>
          <w:sz w:val="24"/>
          <w:szCs w:val="24"/>
        </w:rPr>
        <w:t>Final Thoughts</w:t>
      </w:r>
    </w:p>
    <w:p w14:paraId="1A9707D7"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A Marketing &amp; Advertisement Agreement is essential for businesses and marketing agencies to establish clear expectations and protect their interests. Properly drafted contracts help prevent disputes and ensure successful marketing campaigns. Seeking professional legal guidance is highly recommended when drafting or reviewing such agreements.</w:t>
      </w:r>
    </w:p>
    <w:p w14:paraId="2F148E43" w14:textId="77777777" w:rsidR="0007182A" w:rsidRPr="00A50CB6" w:rsidRDefault="0007182A" w:rsidP="0007182A">
      <w:pPr>
        <w:rPr>
          <w:rFonts w:ascii="Times New Roman" w:hAnsi="Times New Roman" w:cs="Times New Roman"/>
          <w:sz w:val="24"/>
          <w:szCs w:val="24"/>
        </w:rPr>
      </w:pPr>
    </w:p>
    <w:p w14:paraId="42A25AEF" w14:textId="77777777" w:rsidR="0007182A" w:rsidRPr="00A50CB6" w:rsidRDefault="0007182A" w:rsidP="0007182A">
      <w:pPr>
        <w:rPr>
          <w:rFonts w:ascii="Times New Roman" w:hAnsi="Times New Roman" w:cs="Times New Roman"/>
          <w:sz w:val="24"/>
          <w:szCs w:val="24"/>
        </w:rPr>
      </w:pPr>
      <w:r w:rsidRPr="00A50CB6">
        <w:rPr>
          <w:rFonts w:ascii="Times New Roman" w:hAnsi="Times New Roman" w:cs="Times New Roman"/>
          <w:sz w:val="24"/>
          <w:szCs w:val="24"/>
        </w:rPr>
        <w:t xml:space="preserve">Need assistance with a </w:t>
      </w:r>
      <w:r w:rsidRPr="00A50CB6">
        <w:rPr>
          <w:rFonts w:ascii="Times New Roman" w:hAnsi="Times New Roman" w:cs="Times New Roman"/>
          <w:b/>
          <w:bCs/>
          <w:sz w:val="24"/>
          <w:szCs w:val="24"/>
        </w:rPr>
        <w:t>Marketing &amp; Advertisement Agreement</w:t>
      </w:r>
      <w:r w:rsidRPr="00A50CB6">
        <w:rPr>
          <w:rFonts w:ascii="Times New Roman" w:hAnsi="Times New Roman" w:cs="Times New Roman"/>
          <w:sz w:val="24"/>
          <w:szCs w:val="24"/>
        </w:rPr>
        <w:t xml:space="preserve">? Consult a </w:t>
      </w:r>
      <w:r w:rsidRPr="00A50CB6">
        <w:rPr>
          <w:rFonts w:ascii="Times New Roman" w:hAnsi="Times New Roman" w:cs="Times New Roman"/>
          <w:b/>
          <w:bCs/>
          <w:sz w:val="24"/>
          <w:szCs w:val="24"/>
        </w:rPr>
        <w:t>legal expert</w:t>
      </w:r>
      <w:r w:rsidRPr="00A50CB6">
        <w:rPr>
          <w:rFonts w:ascii="Times New Roman" w:hAnsi="Times New Roman" w:cs="Times New Roman"/>
          <w:sz w:val="24"/>
          <w:szCs w:val="24"/>
        </w:rPr>
        <w:t xml:space="preserve"> to ensure your contract is secure and effective!</w:t>
      </w:r>
    </w:p>
    <w:p w14:paraId="40DC9A41"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11571"/>
    <w:multiLevelType w:val="multilevel"/>
    <w:tmpl w:val="973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70D9"/>
    <w:multiLevelType w:val="multilevel"/>
    <w:tmpl w:val="0D6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40210"/>
    <w:multiLevelType w:val="multilevel"/>
    <w:tmpl w:val="B1AA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C7889"/>
    <w:multiLevelType w:val="multilevel"/>
    <w:tmpl w:val="F22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F258D"/>
    <w:multiLevelType w:val="multilevel"/>
    <w:tmpl w:val="8FE4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144744">
    <w:abstractNumId w:val="0"/>
  </w:num>
  <w:num w:numId="2" w16cid:durableId="1463302028">
    <w:abstractNumId w:val="2"/>
  </w:num>
  <w:num w:numId="3" w16cid:durableId="1049493612">
    <w:abstractNumId w:val="1"/>
  </w:num>
  <w:num w:numId="4" w16cid:durableId="2009287432">
    <w:abstractNumId w:val="4"/>
  </w:num>
  <w:num w:numId="5" w16cid:durableId="2007437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2A"/>
    <w:rsid w:val="0007182A"/>
    <w:rsid w:val="00281BE8"/>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E3F6"/>
  <w15:chartTrackingRefBased/>
  <w15:docId w15:val="{175AB480-F299-4DEB-B4BB-8467CBF4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2025-03-31T10:26:00Z</dcterms:created>
  <dcterms:modified xsi:type="dcterms:W3CDTF">2025-03-31T10:26:00Z</dcterms:modified>
</cp:coreProperties>
</file>