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CE9FC"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40"/>
          <w:szCs w:val="40"/>
        </w:rPr>
        <w:t>15CA - 15CB Filing</w:t>
      </w:r>
      <w:r w:rsidRPr="00A50CB6">
        <w:rPr>
          <w:rFonts w:ascii="Times New Roman" w:hAnsi="Times New Roman" w:cs="Times New Roman"/>
          <w:b/>
          <w:bCs/>
          <w:sz w:val="24"/>
          <w:szCs w:val="24"/>
        </w:rPr>
        <w:t>: A Complete Guide for Remittances Outside India</w:t>
      </w:r>
    </w:p>
    <w:p w14:paraId="293922EB"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Introduction</w:t>
      </w:r>
    </w:p>
    <w:p w14:paraId="0FFD57F5"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When making payments to a non-resident or a foreign entity, businesses and individuals in India must comply with tax regulations to ensure that the necessary taxes are deducted before remittance. Forms 15CA and 15CB play a crucial role in this process by ensuring transparency and tax compliance. This guide explains who needs to file, when it is required, the step-by-step filing process, and common mistakes to avoid.</w:t>
      </w:r>
    </w:p>
    <w:p w14:paraId="05240988"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What Are Forms 15CA and 15CB?</w:t>
      </w:r>
    </w:p>
    <w:p w14:paraId="528E4A5F"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Form 15CA</w:t>
      </w:r>
    </w:p>
    <w:p w14:paraId="37C7FF8B"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Form 15CA is an online declaration filed by the remitter (payer) before making a payment to a non-resident. It informs the Income Tax Department about the nature and taxability of the remittance.</w:t>
      </w:r>
    </w:p>
    <w:p w14:paraId="0EA359F5"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Form 15CB</w:t>
      </w:r>
    </w:p>
    <w:p w14:paraId="2BBEB30B"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Form 15CB is a Chartered Accountant (CA) certificate that certifies the correctness of the tax deducted at source (TDS) on foreign remittances. It ensures that the remittance complies with the provisions of the Income Tax Act, 1961 and Double Taxation Avoidance Agreements (DTAA).</w:t>
      </w:r>
    </w:p>
    <w:p w14:paraId="4DE778D3"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When Is 15CA &amp; 15CB Filing Required?</w:t>
      </w:r>
    </w:p>
    <w:p w14:paraId="44130999" w14:textId="77777777" w:rsidR="009E27A8" w:rsidRPr="00A50CB6" w:rsidRDefault="009E27A8" w:rsidP="009E27A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Form 15CA is required in most cases where a remittance is made to a non-resident, except when covered under specified exemptions.</w:t>
      </w:r>
    </w:p>
    <w:p w14:paraId="29640F58" w14:textId="77777777" w:rsidR="009E27A8" w:rsidRPr="00A50CB6" w:rsidRDefault="009E27A8" w:rsidP="009E27A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Form 15CB is required when the remittance amount exceeds ₹5,00,000 in a financial year and is taxable under the Income Tax Act.</w:t>
      </w:r>
    </w:p>
    <w:p w14:paraId="7EAD77DC"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Cases Where Form 15CB Is Not Required:</w:t>
      </w:r>
    </w:p>
    <w:p w14:paraId="5FDC2B68" w14:textId="77777777" w:rsidR="009E27A8" w:rsidRPr="00A50CB6" w:rsidRDefault="009E27A8" w:rsidP="009E27A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If the remittance is covered under Rule 37BB of the Income Tax Rules, where specified transactions are exempt.</w:t>
      </w:r>
    </w:p>
    <w:p w14:paraId="1C7A119F" w14:textId="77777777" w:rsidR="009E27A8" w:rsidRPr="00A50CB6" w:rsidRDefault="009E27A8" w:rsidP="009E27A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If the remittance does not exceed ₹5,00,000 in a financial year.</w:t>
      </w:r>
    </w:p>
    <w:p w14:paraId="1202B643" w14:textId="77777777" w:rsidR="009E27A8" w:rsidRPr="00A50CB6" w:rsidRDefault="009E27A8" w:rsidP="009E27A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If the remittance is not taxable in India.</w:t>
      </w:r>
    </w:p>
    <w:p w14:paraId="0D16F658"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15CA &amp; 15CB Filing</w:t>
      </w:r>
    </w:p>
    <w:p w14:paraId="44F544D1"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Invoice or Agreement for remittance</w:t>
      </w:r>
    </w:p>
    <w:p w14:paraId="105DDE45"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PAN Card of the remitter</w:t>
      </w:r>
    </w:p>
    <w:p w14:paraId="7C24B675"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PAN or Tax Identification Number (TIN) of the recipient (if applicable)</w:t>
      </w:r>
    </w:p>
    <w:p w14:paraId="2778ABF4"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Bank details of both parties</w:t>
      </w:r>
    </w:p>
    <w:p w14:paraId="5B697672"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Nature and purpose of remittance</w:t>
      </w:r>
    </w:p>
    <w:p w14:paraId="77F1E633"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DTAA certificate (if applicable)</w:t>
      </w:r>
    </w:p>
    <w:p w14:paraId="16193D39" w14:textId="77777777" w:rsidR="009E27A8" w:rsidRPr="00A50CB6" w:rsidRDefault="009E27A8" w:rsidP="009E27A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lastRenderedPageBreak/>
        <w:t>TDS payment challan (if TDS is deducted)</w:t>
      </w:r>
    </w:p>
    <w:p w14:paraId="614E6F93"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File Forms 15CA &amp; 15CB</w:t>
      </w:r>
    </w:p>
    <w:p w14:paraId="191B3944"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Step 1: Determine Whether 15CB Is Required</w:t>
      </w:r>
    </w:p>
    <w:p w14:paraId="44709788" w14:textId="77777777" w:rsidR="009E27A8" w:rsidRPr="00A50CB6" w:rsidRDefault="009E27A8" w:rsidP="009E27A8">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If the remittance is taxable and exceeds ₹5,00,000, obtain Form 15CB from a CA.</w:t>
      </w:r>
    </w:p>
    <w:p w14:paraId="2E720E3B" w14:textId="77777777" w:rsidR="009E27A8" w:rsidRPr="00A50CB6" w:rsidRDefault="009E27A8" w:rsidP="009E27A8">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If not, proceed with Form 15CA filing only.</w:t>
      </w:r>
    </w:p>
    <w:p w14:paraId="6898AE65"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Step 2: Obtain Form 15CB (If Applicable)</w:t>
      </w:r>
    </w:p>
    <w:p w14:paraId="4467450A" w14:textId="77777777" w:rsidR="009E27A8" w:rsidRPr="00A50CB6" w:rsidRDefault="009E27A8" w:rsidP="009E27A8">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A CA must certify Form 15CB with details of the remittance, TDS rate, and applicable DTAA provisions.</w:t>
      </w:r>
    </w:p>
    <w:p w14:paraId="48D05D22"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Step 3: File Form 15CA Online</w:t>
      </w:r>
    </w:p>
    <w:p w14:paraId="7C91CCA5" w14:textId="77777777" w:rsidR="009E27A8" w:rsidRPr="00A50CB6" w:rsidRDefault="009E27A8" w:rsidP="009E27A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Log in to the Income Tax e-Filing Portal.</w:t>
      </w:r>
    </w:p>
    <w:p w14:paraId="0064DA58" w14:textId="77777777" w:rsidR="009E27A8" w:rsidRPr="00A50CB6" w:rsidRDefault="009E27A8" w:rsidP="009E27A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Navigate to "e-File" → "Income Tax Forms" → "Form 15CA".</w:t>
      </w:r>
    </w:p>
    <w:p w14:paraId="381913F2" w14:textId="77777777" w:rsidR="009E27A8" w:rsidRPr="00A50CB6" w:rsidRDefault="009E27A8" w:rsidP="009E27A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Select the applicable part of Form 15CA:</w:t>
      </w:r>
    </w:p>
    <w:p w14:paraId="351F0AAD" w14:textId="77777777" w:rsidR="009E27A8" w:rsidRPr="00A50CB6" w:rsidRDefault="009E27A8" w:rsidP="009E27A8">
      <w:pPr>
        <w:numPr>
          <w:ilvl w:val="1"/>
          <w:numId w:val="6"/>
        </w:numPr>
        <w:rPr>
          <w:rFonts w:ascii="Times New Roman" w:hAnsi="Times New Roman" w:cs="Times New Roman"/>
          <w:sz w:val="24"/>
          <w:szCs w:val="24"/>
        </w:rPr>
      </w:pPr>
      <w:r w:rsidRPr="00A50CB6">
        <w:rPr>
          <w:rFonts w:ascii="Times New Roman" w:hAnsi="Times New Roman" w:cs="Times New Roman"/>
          <w:sz w:val="24"/>
          <w:szCs w:val="24"/>
        </w:rPr>
        <w:t>Part A: If remittance is taxable and below ₹5,00,000.</w:t>
      </w:r>
    </w:p>
    <w:p w14:paraId="02E955F5" w14:textId="77777777" w:rsidR="009E27A8" w:rsidRPr="00A50CB6" w:rsidRDefault="009E27A8" w:rsidP="009E27A8">
      <w:pPr>
        <w:numPr>
          <w:ilvl w:val="1"/>
          <w:numId w:val="6"/>
        </w:numPr>
        <w:rPr>
          <w:rFonts w:ascii="Times New Roman" w:hAnsi="Times New Roman" w:cs="Times New Roman"/>
          <w:sz w:val="24"/>
          <w:szCs w:val="24"/>
        </w:rPr>
      </w:pPr>
      <w:r w:rsidRPr="00A50CB6">
        <w:rPr>
          <w:rFonts w:ascii="Times New Roman" w:hAnsi="Times New Roman" w:cs="Times New Roman"/>
          <w:sz w:val="24"/>
          <w:szCs w:val="24"/>
        </w:rPr>
        <w:t>Part B: If remittance exceeds ₹5,00,000 and Form 15CB is obtained.</w:t>
      </w:r>
    </w:p>
    <w:p w14:paraId="4C9359F1" w14:textId="77777777" w:rsidR="009E27A8" w:rsidRPr="00A50CB6" w:rsidRDefault="009E27A8" w:rsidP="009E27A8">
      <w:pPr>
        <w:numPr>
          <w:ilvl w:val="1"/>
          <w:numId w:val="6"/>
        </w:numPr>
        <w:rPr>
          <w:rFonts w:ascii="Times New Roman" w:hAnsi="Times New Roman" w:cs="Times New Roman"/>
          <w:sz w:val="24"/>
          <w:szCs w:val="24"/>
        </w:rPr>
      </w:pPr>
      <w:r w:rsidRPr="00A50CB6">
        <w:rPr>
          <w:rFonts w:ascii="Times New Roman" w:hAnsi="Times New Roman" w:cs="Times New Roman"/>
          <w:sz w:val="24"/>
          <w:szCs w:val="24"/>
        </w:rPr>
        <w:t>Part C: If remittance exceeds ₹5,00,000 but tax is deducted as per IT Act/DTAA.</w:t>
      </w:r>
    </w:p>
    <w:p w14:paraId="4BEE4666" w14:textId="77777777" w:rsidR="009E27A8" w:rsidRPr="00A50CB6" w:rsidRDefault="009E27A8" w:rsidP="009E27A8">
      <w:pPr>
        <w:numPr>
          <w:ilvl w:val="1"/>
          <w:numId w:val="6"/>
        </w:numPr>
        <w:rPr>
          <w:rFonts w:ascii="Times New Roman" w:hAnsi="Times New Roman" w:cs="Times New Roman"/>
          <w:sz w:val="24"/>
          <w:szCs w:val="24"/>
        </w:rPr>
      </w:pPr>
      <w:r w:rsidRPr="00A50CB6">
        <w:rPr>
          <w:rFonts w:ascii="Times New Roman" w:hAnsi="Times New Roman" w:cs="Times New Roman"/>
          <w:sz w:val="24"/>
          <w:szCs w:val="24"/>
        </w:rPr>
        <w:t>Part D: If remittance is not taxable.</w:t>
      </w:r>
    </w:p>
    <w:p w14:paraId="0F0F8B5A" w14:textId="77777777" w:rsidR="009E27A8" w:rsidRPr="00A50CB6" w:rsidRDefault="009E27A8" w:rsidP="009E27A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Enter the remittance details, attach Form 15CB (if required), and submit.</w:t>
      </w:r>
    </w:p>
    <w:p w14:paraId="6261BC6E"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Step 4: Provide Form 15CA to the Bank</w:t>
      </w:r>
    </w:p>
    <w:p w14:paraId="5A86C5C4" w14:textId="77777777" w:rsidR="009E27A8" w:rsidRPr="00A50CB6" w:rsidRDefault="009E27A8" w:rsidP="009E27A8">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After submission, generate a printout of Form 15CA and submit it to the bank along with Form 15CB (if applicable).</w:t>
      </w:r>
    </w:p>
    <w:p w14:paraId="7F5DC911" w14:textId="77777777" w:rsidR="009E27A8" w:rsidRPr="00A50CB6" w:rsidRDefault="009E27A8" w:rsidP="009E27A8">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The bank processes the remittance based on these documents.</w:t>
      </w:r>
    </w:p>
    <w:p w14:paraId="4BF77B59"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w:t>
      </w:r>
    </w:p>
    <w:p w14:paraId="7043EE01" w14:textId="77777777" w:rsidR="009E27A8" w:rsidRPr="00A50CB6" w:rsidRDefault="009E27A8" w:rsidP="009E27A8">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Incorrect Remittance Category: Ensure correct selection under Rule 37BB.</w:t>
      </w:r>
    </w:p>
    <w:p w14:paraId="790E930C" w14:textId="77777777" w:rsidR="009E27A8" w:rsidRPr="00A50CB6" w:rsidRDefault="009E27A8" w:rsidP="009E27A8">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Mismatch in TDS Calculation: Verify the TDS rate and compliance with DTAA provisions.</w:t>
      </w:r>
    </w:p>
    <w:p w14:paraId="3F2C28C6" w14:textId="77777777" w:rsidR="009E27A8" w:rsidRPr="00A50CB6" w:rsidRDefault="009E27A8" w:rsidP="009E27A8">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Filing Incorrect Part of Form 15CA: Select the correct part based on remittance type and amount.</w:t>
      </w:r>
    </w:p>
    <w:p w14:paraId="1C24FFAF" w14:textId="77777777" w:rsidR="009E27A8" w:rsidRPr="00A50CB6" w:rsidRDefault="009E27A8" w:rsidP="009E27A8">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Not Obtaining Form 15CB When Required: If the remittance exceeds ₹5,00,000 and is taxable, Form 15CB is mandatory.</w:t>
      </w:r>
    </w:p>
    <w:p w14:paraId="5271A88D" w14:textId="77777777" w:rsidR="009E27A8" w:rsidRPr="00A50CB6" w:rsidRDefault="009E27A8" w:rsidP="009E27A8">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6D5C0A1A"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lastRenderedPageBreak/>
        <w:t>Filing Form 15CA and 15CB is essential for smooth foreign remittances while ensuring tax compliance. Understanding the requirements and obtaining professional assistance can help avoid penalties and delays.</w:t>
      </w:r>
    </w:p>
    <w:p w14:paraId="7EFC8253" w14:textId="77777777" w:rsidR="009E27A8" w:rsidRPr="00A50CB6" w:rsidRDefault="009E27A8" w:rsidP="009E27A8">
      <w:pPr>
        <w:rPr>
          <w:rFonts w:ascii="Times New Roman" w:hAnsi="Times New Roman" w:cs="Times New Roman"/>
          <w:sz w:val="24"/>
          <w:szCs w:val="24"/>
        </w:rPr>
      </w:pPr>
    </w:p>
    <w:p w14:paraId="3820A629" w14:textId="77777777" w:rsidR="009E27A8" w:rsidRPr="00A50CB6" w:rsidRDefault="009E27A8" w:rsidP="009E27A8">
      <w:pPr>
        <w:rPr>
          <w:rFonts w:ascii="Times New Roman" w:hAnsi="Times New Roman" w:cs="Times New Roman"/>
          <w:sz w:val="24"/>
          <w:szCs w:val="24"/>
        </w:rPr>
      </w:pPr>
      <w:r w:rsidRPr="00A50CB6">
        <w:rPr>
          <w:rFonts w:ascii="Times New Roman" w:hAnsi="Times New Roman" w:cs="Times New Roman"/>
          <w:sz w:val="24"/>
          <w:szCs w:val="24"/>
        </w:rPr>
        <w:t xml:space="preserve">Need help with </w:t>
      </w:r>
      <w:r w:rsidRPr="00A50CB6">
        <w:rPr>
          <w:rFonts w:ascii="Times New Roman" w:hAnsi="Times New Roman" w:cs="Times New Roman"/>
          <w:b/>
          <w:bCs/>
          <w:sz w:val="24"/>
          <w:szCs w:val="24"/>
        </w:rPr>
        <w:t>15CA &amp; 15CB filing</w:t>
      </w:r>
      <w:r w:rsidRPr="00A50CB6">
        <w:rPr>
          <w:rFonts w:ascii="Times New Roman" w:hAnsi="Times New Roman" w:cs="Times New Roman"/>
          <w:sz w:val="24"/>
          <w:szCs w:val="24"/>
        </w:rPr>
        <w:t>? Consult a tax expert or CA to ensure accurate and hassle-free compliance!</w:t>
      </w:r>
    </w:p>
    <w:p w14:paraId="57933E0C" w14:textId="77777777" w:rsidR="009E27A8" w:rsidRPr="00A50CB6" w:rsidRDefault="009E27A8" w:rsidP="009E27A8">
      <w:pPr>
        <w:rPr>
          <w:rFonts w:ascii="Times New Roman" w:hAnsi="Times New Roman" w:cs="Times New Roman"/>
          <w:sz w:val="24"/>
          <w:szCs w:val="24"/>
        </w:rPr>
      </w:pPr>
    </w:p>
    <w:p w14:paraId="1714814A" w14:textId="77777777" w:rsidR="00281BE8" w:rsidRPr="009E27A8" w:rsidRDefault="00281BE8" w:rsidP="009E27A8"/>
    <w:sectPr w:rsidR="00281BE8" w:rsidRPr="009E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65A"/>
    <w:multiLevelType w:val="multilevel"/>
    <w:tmpl w:val="3FB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E1B65"/>
    <w:multiLevelType w:val="multilevel"/>
    <w:tmpl w:val="620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7615"/>
    <w:multiLevelType w:val="multilevel"/>
    <w:tmpl w:val="B2A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C6FB4"/>
    <w:multiLevelType w:val="multilevel"/>
    <w:tmpl w:val="522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82A3A"/>
    <w:multiLevelType w:val="multilevel"/>
    <w:tmpl w:val="5DF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D5230"/>
    <w:multiLevelType w:val="multilevel"/>
    <w:tmpl w:val="80D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77063"/>
    <w:multiLevelType w:val="multilevel"/>
    <w:tmpl w:val="92E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19CE"/>
    <w:multiLevelType w:val="multilevel"/>
    <w:tmpl w:val="64E64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829059">
    <w:abstractNumId w:val="4"/>
  </w:num>
  <w:num w:numId="2" w16cid:durableId="1616400753">
    <w:abstractNumId w:val="3"/>
  </w:num>
  <w:num w:numId="3" w16cid:durableId="1441876210">
    <w:abstractNumId w:val="1"/>
  </w:num>
  <w:num w:numId="4" w16cid:durableId="589658837">
    <w:abstractNumId w:val="2"/>
  </w:num>
  <w:num w:numId="5" w16cid:durableId="835656027">
    <w:abstractNumId w:val="0"/>
  </w:num>
  <w:num w:numId="6" w16cid:durableId="1198853135">
    <w:abstractNumId w:val="7"/>
  </w:num>
  <w:num w:numId="7" w16cid:durableId="1315599940">
    <w:abstractNumId w:val="5"/>
  </w:num>
  <w:num w:numId="8" w16cid:durableId="1389763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A8"/>
    <w:rsid w:val="00281BE8"/>
    <w:rsid w:val="007F5559"/>
    <w:rsid w:val="00981390"/>
    <w:rsid w:val="009E27A8"/>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79BB"/>
  <w15:chartTrackingRefBased/>
  <w15:docId w15:val="{BF573351-0900-4F16-9E0F-5AF163BB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2025-03-31T10:19:00Z</dcterms:created>
  <dcterms:modified xsi:type="dcterms:W3CDTF">2025-03-31T10:19:00Z</dcterms:modified>
</cp:coreProperties>
</file>