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Calibri" w:cs="Calibri" w:eastAsia="Calibri" w:hAnsi="Calibri"/>
          <w:b/>
          <w:bCs/>
          <w:color w:val="1C2B3A"/>
          <w:sz w:val="44"/>
          <w:szCs w:val="44"/>
        </w:rPr>
        <w:t xml:space="preserve">IDMT Ticket Data — Exploratory Analysis</w:t>
      </w:r>
    </w:p>
    <w:p>
      <w:pPr>
        <w:spacing w:after="200"/>
      </w:pPr>
      <w:r>
        <w:rPr>
          <w:rFonts w:ascii="Calibri" w:cs="Calibri" w:eastAsia="Calibri" w:hAnsi="Calibri"/>
          <w:b w:val="false"/>
          <w:bCs w:val="false"/>
          <w:i/>
          <w:iCs/>
          <w:color w:val="777777"/>
          <w:sz w:val="24"/>
          <w:szCs w:val="24"/>
        </w:rPr>
        <w:t xml:space="preserve">Jira Theme &amp; Epic Generator — Pre-modeling dataset characterization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A" w:val="clear"/>
            <w:tcMar>
              <w:top w:type="dxa" w:w="70"/>
              <w:left w:type="dxa" w:w="110"/>
              <w:bottom w:type="dxa" w:w="70"/>
              <w:right w:type="dxa" w:w="110"/>
            </w:tcMar>
          </w:tcPr>
          <w:p>
            <w:r>
              <w:rPr>
                <w:rFonts w:ascii="Calibri" w:cs="Calibri" w:eastAsia="Calibri" w:hAnsi="Calibri"/>
                <w:b/>
                <w:bCs/>
                <w:color w:val="1C2B3A"/>
                <w:sz w:val="20"/>
                <w:szCs w:val="20"/>
              </w:rPr>
              <w:t xml:space="preserve">Document type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Exploratory Data Analysis</w:t>
            </w:r>
          </w:p>
        </w:tc>
      </w:tr>
      <w:tr>
        <w:tc>
          <w:tcPr>
            <w:tcW w:type="dxa" w:w="2800"/>
            <w:tcBorders>
              <w:top w:val="single" w:color="CCCCCC" w:sz="1"/>
              <w:left w:val="single" w:color="CCCCCC" w:sz="1"/>
              <w:bottom w:val="single" w:color="CCCCCC" w:sz="1"/>
              <w:right w:val="single" w:color="CCCCCC" w:sz="1"/>
            </w:tcBorders>
            <w:shd w:fill="EBF3FA" w:val="clear"/>
            <w:tcMar>
              <w:top w:type="dxa" w:w="70"/>
              <w:left w:type="dxa" w:w="110"/>
              <w:bottom w:type="dxa" w:w="70"/>
              <w:right w:type="dxa" w:w="110"/>
            </w:tcMar>
          </w:tcPr>
          <w:p>
            <w:r>
              <w:rPr>
                <w:rFonts w:ascii="Calibri" w:cs="Calibri" w:eastAsia="Calibri" w:hAnsi="Calibri"/>
                <w:b/>
                <w:bCs/>
                <w:color w:val="1C2B3A"/>
                <w:sz w:val="20"/>
                <w:szCs w:val="20"/>
              </w:rPr>
              <w:t xml:space="preserve">System</w:t>
            </w:r>
          </w:p>
        </w:tc>
        <w:tc>
          <w:tcPr>
            <w:tcW w:type="dxa" w:w="6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Jira Theme &amp; Epic Generator Automation</w:t>
            </w:r>
          </w:p>
        </w:tc>
      </w:tr>
      <w:tr>
        <w:tc>
          <w:tcPr>
            <w:tcW w:type="dxa" w:w="2800"/>
            <w:tcBorders>
              <w:top w:val="single" w:color="CCCCCC" w:sz="1"/>
              <w:left w:val="single" w:color="CCCCCC" w:sz="1"/>
              <w:bottom w:val="single" w:color="CCCCCC" w:sz="1"/>
              <w:right w:val="single" w:color="CCCCCC" w:sz="1"/>
            </w:tcBorders>
            <w:shd w:fill="EBF3FA" w:val="clear"/>
            <w:tcMar>
              <w:top w:type="dxa" w:w="70"/>
              <w:left w:type="dxa" w:w="110"/>
              <w:bottom w:type="dxa" w:w="70"/>
              <w:right w:type="dxa" w:w="110"/>
            </w:tcMar>
          </w:tcPr>
          <w:p>
            <w:r>
              <w:rPr>
                <w:rFonts w:ascii="Calibri" w:cs="Calibri" w:eastAsia="Calibri" w:hAnsi="Calibri"/>
                <w:b/>
                <w:bCs/>
                <w:color w:val="1C2B3A"/>
                <w:sz w:val="20"/>
                <w:szCs w:val="20"/>
              </w:rPr>
              <w:t xml:space="preserve">Date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May 2026</w:t>
            </w:r>
          </w:p>
        </w:tc>
      </w:tr>
      <w:tr>
        <w:tc>
          <w:tcPr>
            <w:tcW w:type="dxa" w:w="2800"/>
            <w:tcBorders>
              <w:top w:val="single" w:color="CCCCCC" w:sz="1"/>
              <w:left w:val="single" w:color="CCCCCC" w:sz="1"/>
              <w:bottom w:val="single" w:color="CCCCCC" w:sz="1"/>
              <w:right w:val="single" w:color="CCCCCC" w:sz="1"/>
            </w:tcBorders>
            <w:shd w:fill="EBF3FA" w:val="clear"/>
            <w:tcMar>
              <w:top w:type="dxa" w:w="70"/>
              <w:left w:type="dxa" w:w="110"/>
              <w:bottom w:type="dxa" w:w="70"/>
              <w:right w:type="dxa" w:w="110"/>
            </w:tcMar>
          </w:tcPr>
          <w:p>
            <w:r>
              <w:rPr>
                <w:rFonts w:ascii="Calibri" w:cs="Calibri" w:eastAsia="Calibri" w:hAnsi="Calibri"/>
                <w:b/>
                <w:bCs/>
                <w:color w:val="1C2B3A"/>
                <w:sz w:val="20"/>
                <w:szCs w:val="20"/>
              </w:rPr>
              <w:t xml:space="preserve">Data source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vs_coverage_audit_output.json + ingestion pipeline output</w:t>
            </w:r>
          </w:p>
        </w:tc>
      </w:tr>
    </w:tbl>
    <w:p>
      <w:pPr>
        <w:pStyle w:val="Heading1"/>
        <w:pBdr>
          <w:bottom w:val="single" w:color="CCCCCC" w:sz="4" w:space="4"/>
        </w:pBdr>
        <w:spacing w:after="120" w:before="360"/>
      </w:pPr>
      <w:r>
        <w:rPr>
          <w:rFonts w:ascii="Calibri" w:cs="Calibri" w:eastAsia="Calibri" w:hAnsi="Calibri"/>
          <w:b/>
          <w:bCs/>
          <w:color w:val="1C2B3A"/>
          <w:sz w:val="30"/>
          <w:szCs w:val="30"/>
        </w:rPr>
        <w:t xml:space="preserve">1. Corpus Overview</w:t>
      </w:r>
    </w:p>
    <w:p>
      <w:pPr>
        <w:spacing w:after="120"/>
      </w:pPr>
      <w:r>
        <w:rPr>
          <w:rFonts w:ascii="Calibri" w:cs="Calibri" w:eastAsia="Calibri" w:hAnsi="Calibri"/>
          <w:b w:val="false"/>
          <w:bCs w:val="false"/>
          <w:color w:val="1C2B3A"/>
          <w:sz w:val="22"/>
          <w:szCs w:val="22"/>
        </w:rPr>
        <w:t xml:space="preserve">The dataset covers Engagement Request IDMT tickets created on or after January 1, 2023. The date cutoff ensures tickets reflect current BA practices and the present VS catalog. Total corpus size is 8,476 tickets.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400"/>
        <w:gridCol w:w="3360"/>
      </w:tblGrid>
      <w:tr>
        <w:tc>
          <w:tcPr>
            <w:tcW w:type="dxa" w:w="3200"/>
            <w:tcBorders>
              <w:top w:val="single" w:color="CCCCCC" w:sz="1"/>
              <w:left w:val="single" w:color="CCCCCC" w:sz="1"/>
              <w:bottom w:val="single" w:color="CCCCCC" w:sz="1"/>
              <w:right w:val="single" w:color="CCCCCC" w:sz="1"/>
            </w:tcBorders>
            <w:shd w:fill="1C2B3A" w:val="clear"/>
            <w:tcMar>
              <w:top w:type="dxa" w:w="80"/>
              <w:left w:type="dxa" w:w="110"/>
              <w:bottom w:type="dxa" w:w="80"/>
              <w:right w:type="dxa" w:w="110"/>
            </w:tcMar>
          </w:tcPr>
          <w:p>
            <w:r>
              <w:rPr>
                <w:rFonts w:ascii="Calibri" w:cs="Calibri" w:eastAsia="Calibri" w:hAnsi="Calibri"/>
                <w:b/>
                <w:bCs/>
                <w:color w:val="FFFFFF"/>
                <w:sz w:val="20"/>
                <w:szCs w:val="20"/>
              </w:rPr>
              <w:t xml:space="preserve">Metric</w:t>
            </w:r>
          </w:p>
        </w:tc>
        <w:tc>
          <w:tcPr>
            <w:tcW w:type="dxa" w:w="1400"/>
            <w:tcBorders>
              <w:top w:val="single" w:color="CCCCCC" w:sz="1"/>
              <w:left w:val="single" w:color="CCCCCC" w:sz="1"/>
              <w:bottom w:val="single" w:color="CCCCCC" w:sz="1"/>
              <w:right w:val="single" w:color="CCCCCC" w:sz="1"/>
            </w:tcBorders>
            <w:shd w:fill="1C2B3A" w:val="clear"/>
            <w:tcMar>
              <w:top w:type="dxa" w:w="80"/>
              <w:left w:type="dxa" w:w="110"/>
              <w:bottom w:type="dxa" w:w="80"/>
              <w:right w:type="dxa" w:w="110"/>
            </w:tcMar>
          </w:tcPr>
          <w:p>
            <w:r>
              <w:rPr>
                <w:rFonts w:ascii="Calibri" w:cs="Calibri" w:eastAsia="Calibri" w:hAnsi="Calibri"/>
                <w:b/>
                <w:bCs/>
                <w:color w:val="FFFFFF"/>
                <w:sz w:val="20"/>
                <w:szCs w:val="20"/>
              </w:rPr>
              <w:t xml:space="preserve">Count</w:t>
            </w:r>
          </w:p>
        </w:tc>
        <w:tc>
          <w:tcPr>
            <w:tcW w:type="dxa" w:w="1400"/>
            <w:tcBorders>
              <w:top w:val="single" w:color="CCCCCC" w:sz="1"/>
              <w:left w:val="single" w:color="CCCCCC" w:sz="1"/>
              <w:bottom w:val="single" w:color="CCCCCC" w:sz="1"/>
              <w:right w:val="single" w:color="CCCCCC" w:sz="1"/>
            </w:tcBorders>
            <w:shd w:fill="1C2B3A" w:val="clear"/>
            <w:tcMar>
              <w:top w:type="dxa" w:w="80"/>
              <w:left w:type="dxa" w:w="110"/>
              <w:bottom w:type="dxa" w:w="80"/>
              <w:right w:type="dxa" w:w="110"/>
            </w:tcMar>
          </w:tcPr>
          <w:p>
            <w:r>
              <w:rPr>
                <w:rFonts w:ascii="Calibri" w:cs="Calibri" w:eastAsia="Calibri" w:hAnsi="Calibri"/>
                <w:b/>
                <w:bCs/>
                <w:color w:val="FFFFFF"/>
                <w:sz w:val="20"/>
                <w:szCs w:val="20"/>
              </w:rPr>
              <w:t xml:space="preserve">% of total</w:t>
            </w:r>
          </w:p>
        </w:tc>
        <w:tc>
          <w:tcPr>
            <w:tcW w:type="dxa" w:w="3360"/>
            <w:tcBorders>
              <w:top w:val="single" w:color="CCCCCC" w:sz="1"/>
              <w:left w:val="single" w:color="CCCCCC" w:sz="1"/>
              <w:bottom w:val="single" w:color="CCCCCC" w:sz="1"/>
              <w:right w:val="single" w:color="CCCCCC" w:sz="1"/>
            </w:tcBorders>
            <w:shd w:fill="1C2B3A" w:val="clear"/>
            <w:tcMar>
              <w:top w:type="dxa" w:w="80"/>
              <w:left w:type="dxa" w:w="110"/>
              <w:bottom w:type="dxa" w:w="80"/>
              <w:right w:type="dxa" w:w="110"/>
            </w:tcMar>
          </w:tcPr>
          <w:p>
            <w:r>
              <w:rPr>
                <w:rFonts w:ascii="Calibri" w:cs="Calibri" w:eastAsia="Calibri" w:hAnsi="Calibri"/>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EBF3FA"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Total IDMT tickets (post 2023-01-01, Engagement Request)</w:t>
            </w:r>
          </w:p>
        </w:tc>
        <w:tc>
          <w:tcPr>
            <w:tcW w:type="dxa" w:w="1400"/>
            <w:tcBorders>
              <w:top w:val="single" w:color="CCCCCC" w:sz="1"/>
              <w:left w:val="single" w:color="CCCCCC" w:sz="1"/>
              <w:bottom w:val="single" w:color="CCCCCC" w:sz="1"/>
              <w:right w:val="single" w:color="CCCCCC" w:sz="1"/>
            </w:tcBorders>
            <w:shd w:fill="EBF3FA" w:val="clear"/>
            <w:tcMar>
              <w:top w:type="dxa" w:w="70"/>
              <w:left w:type="dxa" w:w="110"/>
              <w:bottom w:type="dxa" w:w="70"/>
              <w:right w:type="dxa" w:w="110"/>
            </w:tcMar>
          </w:tcPr>
          <w:p>
            <w:r>
              <w:rPr>
                <w:rFonts w:ascii="Calibri" w:cs="Calibri" w:eastAsia="Calibri" w:hAnsi="Calibri"/>
                <w:b/>
                <w:bCs/>
                <w:color w:val="1C2B3A"/>
                <w:sz w:val="20"/>
                <w:szCs w:val="20"/>
              </w:rPr>
              <w:t xml:space="preserve">8,476</w:t>
            </w:r>
          </w:p>
        </w:tc>
        <w:tc>
          <w:tcPr>
            <w:tcW w:type="dxa" w:w="1400"/>
            <w:tcBorders>
              <w:top w:val="single" w:color="CCCCCC" w:sz="1"/>
              <w:left w:val="single" w:color="CCCCCC" w:sz="1"/>
              <w:bottom w:val="single" w:color="CCCCCC" w:sz="1"/>
              <w:right w:val="single" w:color="CCCCCC" w:sz="1"/>
            </w:tcBorders>
            <w:shd w:fill="EBF3FA"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100%</w:t>
            </w:r>
          </w:p>
        </w:tc>
        <w:tc>
          <w:tcPr>
            <w:tcW w:type="dxa" w:w="3360"/>
            <w:tcBorders>
              <w:top w:val="single" w:color="CCCCCC" w:sz="1"/>
              <w:left w:val="single" w:color="CCCCCC" w:sz="1"/>
              <w:bottom w:val="single" w:color="CCCCCC" w:sz="1"/>
              <w:right w:val="single" w:color="CCCCCC" w:sz="1"/>
            </w:tcBorders>
            <w:shd w:fill="EBF3FA"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Full corpus</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No VS attached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bCs/>
                <w:color w:val="1C2B3A"/>
                <w:sz w:val="20"/>
                <w:szCs w:val="20"/>
              </w:rPr>
              <w:t xml:space="preserve">8,254</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97.4%</w:t>
            </w:r>
          </w:p>
        </w:tc>
        <w:tc>
          <w:tcPr>
            <w:tcW w:type="dxa" w:w="3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No ground truth — excluded</w:t>
            </w:r>
          </w:p>
        </w:tc>
      </w:tr>
      <w:tr>
        <w:tc>
          <w:tcPr>
            <w:tcW w:type="dxa" w:w="3200"/>
            <w:tcBorders>
              <w:top w:val="single" w:color="CCCCCC" w:sz="1"/>
              <w:left w:val="single" w:color="CCCCCC" w:sz="1"/>
              <w:bottom w:val="single" w:color="CCCCCC" w:sz="1"/>
              <w:right w:val="single" w:color="CCCCCC" w:sz="1"/>
            </w:tcBorders>
            <w:shd w:fill="EBF3FA"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At least one VS attached</w:t>
            </w:r>
          </w:p>
        </w:tc>
        <w:tc>
          <w:tcPr>
            <w:tcW w:type="dxa" w:w="1400"/>
            <w:tcBorders>
              <w:top w:val="single" w:color="CCCCCC" w:sz="1"/>
              <w:left w:val="single" w:color="CCCCCC" w:sz="1"/>
              <w:bottom w:val="single" w:color="CCCCCC" w:sz="1"/>
              <w:right w:val="single" w:color="CCCCCC" w:sz="1"/>
            </w:tcBorders>
            <w:shd w:fill="EBF3FA" w:val="clear"/>
            <w:tcMar>
              <w:top w:type="dxa" w:w="70"/>
              <w:left w:type="dxa" w:w="110"/>
              <w:bottom w:type="dxa" w:w="70"/>
              <w:right w:type="dxa" w:w="110"/>
            </w:tcMar>
          </w:tcPr>
          <w:p>
            <w:r>
              <w:rPr>
                <w:rFonts w:ascii="Calibri" w:cs="Calibri" w:eastAsia="Calibri" w:hAnsi="Calibri"/>
                <w:b/>
                <w:bCs/>
                <w:color w:val="1A5EA8"/>
                <w:sz w:val="20"/>
                <w:szCs w:val="20"/>
              </w:rPr>
              <w:t xml:space="preserve">222</w:t>
            </w:r>
          </w:p>
        </w:tc>
        <w:tc>
          <w:tcPr>
            <w:tcW w:type="dxa" w:w="1400"/>
            <w:tcBorders>
              <w:top w:val="single" w:color="CCCCCC" w:sz="1"/>
              <w:left w:val="single" w:color="CCCCCC" w:sz="1"/>
              <w:bottom w:val="single" w:color="CCCCCC" w:sz="1"/>
              <w:right w:val="single" w:color="CCCCCC" w:sz="1"/>
            </w:tcBorders>
            <w:shd w:fill="EBF3FA"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2.6%</w:t>
            </w:r>
          </w:p>
        </w:tc>
        <w:tc>
          <w:tcPr>
            <w:tcW w:type="dxa" w:w="3360"/>
            <w:tcBorders>
              <w:top w:val="single" w:color="CCCCCC" w:sz="1"/>
              <w:left w:val="single" w:color="CCCCCC" w:sz="1"/>
              <w:bottom w:val="single" w:color="CCCCCC" w:sz="1"/>
              <w:right w:val="single" w:color="CCCCCC" w:sz="1"/>
            </w:tcBorders>
            <w:shd w:fill="EBF3FA"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Starting point for validation</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All VSes valid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bCs/>
                <w:color w:val="1A7A3A"/>
                <w:sz w:val="20"/>
                <w:szCs w:val="20"/>
              </w:rPr>
              <w:t xml:space="preserve">111</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50.0% of 222</w:t>
            </w:r>
          </w:p>
        </w:tc>
        <w:tc>
          <w:tcPr>
            <w:tcW w:type="dxa" w:w="3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Fully clean labeled tickets</w:t>
            </w:r>
          </w:p>
        </w:tc>
      </w:tr>
      <w:tr>
        <w:tc>
          <w:tcPr>
            <w:tcW w:type="dxa" w:w="3200"/>
            <w:tcBorders>
              <w:top w:val="single" w:color="CCCCCC" w:sz="1"/>
              <w:left w:val="single" w:color="CCCCCC" w:sz="1"/>
              <w:bottom w:val="single" w:color="CCCCCC" w:sz="1"/>
              <w:right w:val="single" w:color="CCCCCC" w:sz="1"/>
            </w:tcBorders>
            <w:shd w:fill="EBF3FA"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Mixed — some valid, some invalid</w:t>
            </w:r>
          </w:p>
        </w:tc>
        <w:tc>
          <w:tcPr>
            <w:tcW w:type="dxa" w:w="1400"/>
            <w:tcBorders>
              <w:top w:val="single" w:color="CCCCCC" w:sz="1"/>
              <w:left w:val="single" w:color="CCCCCC" w:sz="1"/>
              <w:bottom w:val="single" w:color="CCCCCC" w:sz="1"/>
              <w:right w:val="single" w:color="CCCCCC" w:sz="1"/>
            </w:tcBorders>
            <w:shd w:fill="EBF3FA" w:val="clear"/>
            <w:tcMar>
              <w:top w:type="dxa" w:w="70"/>
              <w:left w:type="dxa" w:w="110"/>
              <w:bottom w:type="dxa" w:w="70"/>
              <w:right w:type="dxa" w:w="110"/>
            </w:tcMar>
          </w:tcPr>
          <w:p>
            <w:r>
              <w:rPr>
                <w:rFonts w:ascii="Calibri" w:cs="Calibri" w:eastAsia="Calibri" w:hAnsi="Calibri"/>
                <w:b/>
                <w:bCs/>
                <w:color w:val="B8860B"/>
                <w:sz w:val="20"/>
                <w:szCs w:val="20"/>
              </w:rPr>
              <w:t xml:space="preserve">21</w:t>
            </w:r>
          </w:p>
        </w:tc>
        <w:tc>
          <w:tcPr>
            <w:tcW w:type="dxa" w:w="1400"/>
            <w:tcBorders>
              <w:top w:val="single" w:color="CCCCCC" w:sz="1"/>
              <w:left w:val="single" w:color="CCCCCC" w:sz="1"/>
              <w:bottom w:val="single" w:color="CCCCCC" w:sz="1"/>
              <w:right w:val="single" w:color="CCCCCC" w:sz="1"/>
            </w:tcBorders>
            <w:shd w:fill="EBF3FA"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9.5% of 222</w:t>
            </w:r>
          </w:p>
        </w:tc>
        <w:tc>
          <w:tcPr>
            <w:tcW w:type="dxa" w:w="3360"/>
            <w:tcBorders>
              <w:top w:val="single" w:color="CCCCCC" w:sz="1"/>
              <w:left w:val="single" w:color="CCCCCC" w:sz="1"/>
              <w:bottom w:val="single" w:color="CCCCCC" w:sz="1"/>
              <w:right w:val="single" w:color="CCCCCC" w:sz="1"/>
            </w:tcBorders>
            <w:shd w:fill="EBF3FA"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Valid VSes extracted; invalid discarded</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None valid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bCs/>
                <w:color w:val="B83232"/>
                <w:sz w:val="20"/>
                <w:szCs w:val="20"/>
              </w:rPr>
              <w:t xml:space="preserve">90</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40.5% of 222</w:t>
            </w:r>
          </w:p>
        </w:tc>
        <w:tc>
          <w:tcPr>
            <w:tcW w:type="dxa" w:w="3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Excluded entirely</w:t>
            </w:r>
          </w:p>
        </w:tc>
      </w:tr>
      <w:tr>
        <w:tc>
          <w:tcPr>
            <w:tcW w:type="dxa" w:w="3200"/>
            <w:tcBorders>
              <w:top w:val="single" w:color="CCCCCC" w:sz="1"/>
              <w:left w:val="single" w:color="CCCCCC" w:sz="1"/>
              <w:bottom w:val="single" w:color="CCCCCC" w:sz="1"/>
              <w:right w:val="single" w:color="CCCCCC" w:sz="1"/>
            </w:tcBorders>
            <w:shd w:fill="F0FAF3"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Usable labeled pool (all_valid + mixed)</w:t>
            </w:r>
          </w:p>
        </w:tc>
        <w:tc>
          <w:tcPr>
            <w:tcW w:type="dxa" w:w="1400"/>
            <w:tcBorders>
              <w:top w:val="single" w:color="CCCCCC" w:sz="1"/>
              <w:left w:val="single" w:color="CCCCCC" w:sz="1"/>
              <w:bottom w:val="single" w:color="CCCCCC" w:sz="1"/>
              <w:right w:val="single" w:color="CCCCCC" w:sz="1"/>
            </w:tcBorders>
            <w:shd w:fill="F0FAF3" w:val="clear"/>
            <w:tcMar>
              <w:top w:type="dxa" w:w="70"/>
              <w:left w:type="dxa" w:w="110"/>
              <w:bottom w:type="dxa" w:w="70"/>
              <w:right w:type="dxa" w:w="110"/>
            </w:tcMar>
          </w:tcPr>
          <w:p>
            <w:r>
              <w:rPr>
                <w:rFonts w:ascii="Calibri" w:cs="Calibri" w:eastAsia="Calibri" w:hAnsi="Calibri"/>
                <w:b/>
                <w:bCs/>
                <w:color w:val="1A7A3A"/>
                <w:sz w:val="20"/>
                <w:szCs w:val="20"/>
              </w:rPr>
              <w:t xml:space="preserve">132</w:t>
            </w:r>
          </w:p>
        </w:tc>
        <w:tc>
          <w:tcPr>
            <w:tcW w:type="dxa" w:w="1400"/>
            <w:tcBorders>
              <w:top w:val="single" w:color="CCCCCC" w:sz="1"/>
              <w:left w:val="single" w:color="CCCCCC" w:sz="1"/>
              <w:bottom w:val="single" w:color="CCCCCC" w:sz="1"/>
              <w:right w:val="single" w:color="CCCCCC" w:sz="1"/>
            </w:tcBorders>
            <w:shd w:fill="F0FAF3"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1.5% of total</w:t>
            </w:r>
          </w:p>
        </w:tc>
        <w:tc>
          <w:tcPr>
            <w:tcW w:type="dxa" w:w="3360"/>
            <w:tcBorders>
              <w:top w:val="single" w:color="CCCCCC" w:sz="1"/>
              <w:left w:val="single" w:color="CCCCCC" w:sz="1"/>
              <w:bottom w:val="single" w:color="CCCCCC" w:sz="1"/>
              <w:right w:val="single" w:color="CCCCCC" w:sz="1"/>
            </w:tcBorders>
            <w:shd w:fill="F0FAF3"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Primary dataset for dev and eval</w:t>
            </w:r>
          </w:p>
        </w:tc>
      </w:tr>
      <w:tr>
        <w:tc>
          <w:tcPr>
            <w:tcW w:type="dxa" w:w="3200"/>
            <w:tcBorders>
              <w:top w:val="single" w:color="CCCCCC" w:sz="1"/>
              <w:left w:val="single" w:color="CCCCCC" w:sz="1"/>
              <w:bottom w:val="single" w:color="CCCCCC" w:sz="1"/>
              <w:right w:val="single" w:color="CCCCCC" w:sz="1"/>
            </w:tcBorders>
            <w:shd w:fill="EBF3FA"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Usable tickets with idea cards attached</w:t>
            </w:r>
          </w:p>
        </w:tc>
        <w:tc>
          <w:tcPr>
            <w:tcW w:type="dxa" w:w="1400"/>
            <w:tcBorders>
              <w:top w:val="single" w:color="CCCCCC" w:sz="1"/>
              <w:left w:val="single" w:color="CCCCCC" w:sz="1"/>
              <w:bottom w:val="single" w:color="CCCCCC" w:sz="1"/>
              <w:right w:val="single" w:color="CCCCCC" w:sz="1"/>
            </w:tcBorders>
            <w:shd w:fill="EBF3FA" w:val="clear"/>
            <w:tcMar>
              <w:top w:type="dxa" w:w="70"/>
              <w:left w:type="dxa" w:w="110"/>
              <w:bottom w:type="dxa" w:w="70"/>
              <w:right w:type="dxa" w:w="110"/>
            </w:tcMar>
          </w:tcPr>
          <w:p>
            <w:r>
              <w:rPr>
                <w:rFonts w:ascii="Calibri" w:cs="Calibri" w:eastAsia="Calibri" w:hAnsi="Calibri"/>
                <w:b/>
                <w:bCs/>
                <w:color w:val="1A5EA8"/>
                <w:sz w:val="20"/>
                <w:szCs w:val="20"/>
              </w:rPr>
              <w:t xml:space="preserve">82</w:t>
            </w:r>
          </w:p>
        </w:tc>
        <w:tc>
          <w:tcPr>
            <w:tcW w:type="dxa" w:w="1400"/>
            <w:tcBorders>
              <w:top w:val="single" w:color="CCCCCC" w:sz="1"/>
              <w:left w:val="single" w:color="CCCCCC" w:sz="1"/>
              <w:bottom w:val="single" w:color="CCCCCC" w:sz="1"/>
              <w:right w:val="single" w:color="CCCCCC" w:sz="1"/>
            </w:tcBorders>
            <w:shd w:fill="EBF3FA"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62.1% of pool</w:t>
            </w:r>
          </w:p>
        </w:tc>
        <w:tc>
          <w:tcPr>
            <w:tcW w:type="dxa" w:w="3360"/>
            <w:tcBorders>
              <w:top w:val="single" w:color="CCCCCC" w:sz="1"/>
              <w:left w:val="single" w:color="CCCCCC" w:sz="1"/>
              <w:bottom w:val="single" w:color="CCCCCC" w:sz="1"/>
              <w:right w:val="single" w:color="CCCCCC" w:sz="1"/>
            </w:tcBorders>
            <w:shd w:fill="EBF3FA"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Actual evaluation set</w:t>
            </w:r>
          </w:p>
        </w:tc>
      </w:tr>
    </w:tbl>
    <w:p>
      <w:pPr>
        <w:spacing w:after="120"/>
      </w:pPr>
      <w:r>
        <w:rPr>
          <w:rFonts w:ascii="Calibri" w:cs="Calibri" w:eastAsia="Calibri" w:hAnsi="Calibri"/>
          <w:b w:val="false"/>
          <w:bCs w:val="false"/>
          <w:color w:val="1C2B3A"/>
          <w:sz w:val="22"/>
          <w:szCs w:val="22"/>
        </w:rPr>
        <w:t xml:space="preserve">The headline number is how sparse the labeled data is. Only 2.6% of the corpus has any VS attached, and once we apply the validity filter only 1.5% is usable. The entire model is trained and evaluated on 132 labeled examples out of 8,476 tickets.</w:t>
      </w:r>
    </w:p>
    <w:p>
      <w:pPr>
        <w:pStyle w:val="Heading2"/>
        <w:spacing w:after="80" w:before="240"/>
      </w:pPr>
      <w:r>
        <w:rPr>
          <w:rFonts w:ascii="Calibri" w:cs="Calibri" w:eastAsia="Calibri" w:hAnsi="Calibri"/>
          <w:b/>
          <w:bCs/>
          <w:color w:val="1A5EA8"/>
          <w:sz w:val="24"/>
          <w:szCs w:val="24"/>
        </w:rPr>
        <w:t xml:space="preserve">1.1 Corpus 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115"/>
        <w:gridCol w:w="123"/>
        <w:gridCol w:w="23"/>
        <w:gridCol w:w="99"/>
      </w:tblGrid>
      <w:tr>
        <w:tc>
          <w:tcPr>
            <w:tcW w:type="dxa" w:w="9115"/>
            <w:tcBorders>
              <w:top w:val="none" w:color="FFFFFF" w:sz="0"/>
              <w:left w:val="none" w:color="FFFFFF" w:sz="0"/>
              <w:bottom w:val="none" w:color="FFFFFF" w:sz="0"/>
              <w:right w:val="none" w:color="FFFFFF" w:sz="0"/>
            </w:tcBorders>
            <w:shd w:fill="C8C8C8" w:val="clear"/>
          </w:tcPr>
          <w:p>
            <w:pPr>
              <w:jc w:val="center"/>
            </w:pPr>
            <w:r>
              <w:rPr>
                <w:rFonts w:ascii="Calibri" w:cs="Calibri" w:eastAsia="Calibri" w:hAnsi="Calibri"/>
                <w:b w:val="false"/>
                <w:bCs w:val="false"/>
                <w:color w:val="444444"/>
                <w:sz w:val="18"/>
                <w:szCs w:val="18"/>
              </w:rPr>
              <w:t xml:space="preserve">No VS  97.4%</w:t>
            </w:r>
          </w:p>
        </w:tc>
        <w:tc>
          <w:tcPr>
            <w:tcW w:type="dxa" w:w="123"/>
            <w:tcBorders>
              <w:top w:val="none" w:color="FFFFFF" w:sz="0"/>
              <w:left w:val="none" w:color="FFFFFF" w:sz="0"/>
              <w:bottom w:val="none" w:color="FFFFFF" w:sz="0"/>
              <w:right w:val="none" w:color="FFFFFF" w:sz="0"/>
            </w:tcBorders>
            <w:shd w:fill="1A7A3A" w:val="clear"/>
          </w:tcPr>
          <w:p>
            <w:r>
              <w:rPr>
                <w:sz w:val="16"/>
                <w:szCs w:val="16"/>
              </w:rPr>
              <w:t xml:space="preserve"/>
            </w:r>
          </w:p>
        </w:tc>
        <w:tc>
          <w:tcPr>
            <w:tcW w:type="dxa" w:w="23"/>
            <w:tcBorders>
              <w:top w:val="none" w:color="FFFFFF" w:sz="0"/>
              <w:left w:val="none" w:color="FFFFFF" w:sz="0"/>
              <w:bottom w:val="none" w:color="FFFFFF" w:sz="0"/>
              <w:right w:val="none" w:color="FFFFFF" w:sz="0"/>
            </w:tcBorders>
            <w:shd w:fill="C8A000" w:val="clear"/>
          </w:tcPr>
          <w:p>
            <w:r>
              <w:rPr>
                <w:sz w:val="16"/>
                <w:szCs w:val="16"/>
              </w:rPr>
              <w:t xml:space="preserve"/>
            </w:r>
          </w:p>
        </w:tc>
        <w:tc>
          <w:tcPr>
            <w:tcW w:type="dxa" w:w="99"/>
            <w:tcBorders>
              <w:top w:val="none" w:color="FFFFFF" w:sz="0"/>
              <w:left w:val="none" w:color="FFFFFF" w:sz="0"/>
              <w:bottom w:val="none" w:color="FFFFFF" w:sz="0"/>
              <w:right w:val="none" w:color="FFFFFF" w:sz="0"/>
            </w:tcBorders>
            <w:shd w:fill="B83232" w:val="clear"/>
          </w:tcPr>
          <w:p>
            <w:r>
              <w:rPr>
                <w:sz w:val="16"/>
                <w:szCs w:val="16"/>
              </w:rPr>
              <w:t xml:space="preserve"/>
            </w:r>
          </w:p>
        </w:tc>
      </w:tr>
    </w:tbl>
    <w:p>
      <w:pPr>
        <w:spacing w:after="120"/>
      </w:pPr>
      <w:r>
        <w:rPr>
          <w:rFonts w:ascii="Calibri" w:cs="Calibri" w:eastAsia="Calibri" w:hAnsi="Calibri"/>
          <w:b w:val="false"/>
          <w:bCs w:val="false"/>
          <w:color w:val="C8C8C8"/>
          <w:sz w:val="20"/>
          <w:szCs w:val="20"/>
        </w:rPr>
        <w:t xml:space="preserve">  ■ </w:t>
      </w:r>
      <w:r>
        <w:rPr>
          <w:rFonts w:ascii="Calibri" w:cs="Calibri" w:eastAsia="Calibri" w:hAnsi="Calibri"/>
          <w:b w:val="false"/>
          <w:bCs w:val="false"/>
          <w:color w:val="777777"/>
          <w:sz w:val="18"/>
          <w:szCs w:val="18"/>
        </w:rPr>
        <w:t xml:space="preserve">No VS (97.4%)   </w:t>
      </w:r>
      <w:r>
        <w:rPr>
          <w:rFonts w:ascii="Calibri" w:cs="Calibri" w:eastAsia="Calibri" w:hAnsi="Calibri"/>
          <w:b w:val="false"/>
          <w:bCs w:val="false"/>
          <w:color w:val="1A7A3A"/>
          <w:sz w:val="20"/>
          <w:szCs w:val="20"/>
        </w:rPr>
        <w:t xml:space="preserve">■ </w:t>
      </w:r>
      <w:r>
        <w:rPr>
          <w:rFonts w:ascii="Calibri" w:cs="Calibri" w:eastAsia="Calibri" w:hAnsi="Calibri"/>
          <w:b w:val="false"/>
          <w:bCs w:val="false"/>
          <w:color w:val="777777"/>
          <w:sz w:val="18"/>
          <w:szCs w:val="18"/>
        </w:rPr>
        <w:t xml:space="preserve">All valid (1.3%)   </w:t>
      </w:r>
      <w:r>
        <w:rPr>
          <w:rFonts w:ascii="Calibri" w:cs="Calibri" w:eastAsia="Calibri" w:hAnsi="Calibri"/>
          <w:b w:val="false"/>
          <w:bCs w:val="false"/>
          <w:color w:val="C8A000"/>
          <w:sz w:val="20"/>
          <w:szCs w:val="20"/>
        </w:rPr>
        <w:t xml:space="preserve">■ </w:t>
      </w:r>
      <w:r>
        <w:rPr>
          <w:rFonts w:ascii="Calibri" w:cs="Calibri" w:eastAsia="Calibri" w:hAnsi="Calibri"/>
          <w:b w:val="false"/>
          <w:bCs w:val="false"/>
          <w:color w:val="777777"/>
          <w:sz w:val="18"/>
          <w:szCs w:val="18"/>
        </w:rPr>
        <w:t xml:space="preserve">Mixed (0.2%)   </w:t>
      </w:r>
      <w:r>
        <w:rPr>
          <w:rFonts w:ascii="Calibri" w:cs="Calibri" w:eastAsia="Calibri" w:hAnsi="Calibri"/>
          <w:b w:val="false"/>
          <w:bCs w:val="false"/>
          <w:color w:val="B83232"/>
          <w:sz w:val="20"/>
          <w:szCs w:val="20"/>
        </w:rPr>
        <w:t xml:space="preserve">■ </w:t>
      </w:r>
      <w:r>
        <w:rPr>
          <w:rFonts w:ascii="Calibri" w:cs="Calibri" w:eastAsia="Calibri" w:hAnsi="Calibri"/>
          <w:b w:val="false"/>
          <w:bCs w:val="false"/>
          <w:color w:val="777777"/>
          <w:sz w:val="18"/>
          <w:szCs w:val="18"/>
        </w:rPr>
        <w:t xml:space="preserve">None valid (1.1%)</w:t>
      </w:r>
    </w:p>
    <w:p>
      <w:pPr>
        <w:spacing w:after="120"/>
      </w:pPr>
      <w:r>
        <w:rPr>
          <w:rFonts w:ascii="Calibri" w:cs="Calibri" w:eastAsia="Calibri" w:hAnsi="Calibri"/>
          <w:b w:val="false"/>
          <w:bCs w:val="false"/>
          <w:color w:val="1C2B3A"/>
          <w:sz w:val="22"/>
          <w:szCs w:val="22"/>
        </w:rPr>
        <w:t xml:space="preserve">The bar makes the label scarcity concrete. All labeled data — valid and invalid combined — occupies the narrow 2.6% sliver on the right. The unlabeled 97.4% represents future potential if labeling coverage can be expanded.</w:t>
      </w:r>
    </w:p>
    <w:p>
      <w:pPr>
        <w:pStyle w:val="Heading1"/>
        <w:pBdr>
          <w:bottom w:val="single" w:color="CCCCCC" w:sz="4" w:space="4"/>
        </w:pBdr>
        <w:spacing w:after="120" w:before="360"/>
      </w:pPr>
      <w:r>
        <w:rPr>
          <w:rFonts w:ascii="Calibri" w:cs="Calibri" w:eastAsia="Calibri" w:hAnsi="Calibri"/>
          <w:b/>
          <w:bCs/>
          <w:color w:val="1C2B3A"/>
          <w:sz w:val="30"/>
          <w:szCs w:val="30"/>
        </w:rPr>
        <w:t xml:space="preserve">2. VS Label Coverage</w:t>
      </w:r>
    </w:p>
    <w:p>
      <w:pPr>
        <w:pStyle w:val="Heading2"/>
        <w:spacing w:after="80" w:before="240"/>
      </w:pPr>
      <w:r>
        <w:rPr>
          <w:rFonts w:ascii="Calibri" w:cs="Calibri" w:eastAsia="Calibri" w:hAnsi="Calibri"/>
          <w:b/>
          <w:bCs/>
          <w:color w:val="1A5EA8"/>
          <w:sz w:val="24"/>
          <w:szCs w:val="24"/>
        </w:rPr>
        <w:t xml:space="preserve">2.1 Breakdown of the 222 labeled tickets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1600"/>
        <w:gridCol w:w="2760"/>
      </w:tblGrid>
      <w:tr>
        <w:tc>
          <w:tcPr>
            <w:tcW w:type="dxa" w:w="3400"/>
            <w:tcBorders>
              <w:top w:val="single" w:color="CCCCCC" w:sz="1"/>
              <w:left w:val="single" w:color="CCCCCC" w:sz="1"/>
              <w:bottom w:val="single" w:color="CCCCCC" w:sz="1"/>
              <w:right w:val="single" w:color="CCCCCC" w:sz="1"/>
            </w:tcBorders>
            <w:shd w:fill="1C2B3A" w:val="clear"/>
            <w:tcMar>
              <w:top w:type="dxa" w:w="80"/>
              <w:left w:type="dxa" w:w="110"/>
              <w:bottom w:type="dxa" w:w="80"/>
              <w:right w:type="dxa" w:w="110"/>
            </w:tcMar>
          </w:tcPr>
          <w:p>
            <w:r>
              <w:rPr>
                <w:rFonts w:ascii="Calibri" w:cs="Calibri" w:eastAsia="Calibri" w:hAnsi="Calibri"/>
                <w:b/>
                <w:bCs/>
                <w:color w:val="FFFFFF"/>
                <w:sz w:val="20"/>
                <w:szCs w:val="20"/>
              </w:rPr>
              <w:t xml:space="preserve">Category</w:t>
            </w:r>
          </w:p>
        </w:tc>
        <w:tc>
          <w:tcPr>
            <w:tcW w:type="dxa" w:w="1600"/>
            <w:tcBorders>
              <w:top w:val="single" w:color="CCCCCC" w:sz="1"/>
              <w:left w:val="single" w:color="CCCCCC" w:sz="1"/>
              <w:bottom w:val="single" w:color="CCCCCC" w:sz="1"/>
              <w:right w:val="single" w:color="CCCCCC" w:sz="1"/>
            </w:tcBorders>
            <w:shd w:fill="1C2B3A" w:val="clear"/>
            <w:tcMar>
              <w:top w:type="dxa" w:w="80"/>
              <w:left w:type="dxa" w:w="110"/>
              <w:bottom w:type="dxa" w:w="80"/>
              <w:right w:type="dxa" w:w="110"/>
            </w:tcMar>
          </w:tcPr>
          <w:p>
            <w:r>
              <w:rPr>
                <w:rFonts w:ascii="Calibri" w:cs="Calibri" w:eastAsia="Calibri" w:hAnsi="Calibri"/>
                <w:b/>
                <w:bCs/>
                <w:color w:val="FFFFFF"/>
                <w:sz w:val="20"/>
                <w:szCs w:val="20"/>
              </w:rPr>
              <w:t xml:space="preserve">Count</w:t>
            </w:r>
          </w:p>
        </w:tc>
        <w:tc>
          <w:tcPr>
            <w:tcW w:type="dxa" w:w="1600"/>
            <w:tcBorders>
              <w:top w:val="single" w:color="CCCCCC" w:sz="1"/>
              <w:left w:val="single" w:color="CCCCCC" w:sz="1"/>
              <w:bottom w:val="single" w:color="CCCCCC" w:sz="1"/>
              <w:right w:val="single" w:color="CCCCCC" w:sz="1"/>
            </w:tcBorders>
            <w:shd w:fill="1C2B3A" w:val="clear"/>
            <w:tcMar>
              <w:top w:type="dxa" w:w="80"/>
              <w:left w:type="dxa" w:w="110"/>
              <w:bottom w:type="dxa" w:w="80"/>
              <w:right w:type="dxa" w:w="110"/>
            </w:tcMar>
          </w:tcPr>
          <w:p>
            <w:r>
              <w:rPr>
                <w:rFonts w:ascii="Calibri" w:cs="Calibri" w:eastAsia="Calibri" w:hAnsi="Calibri"/>
                <w:b/>
                <w:bCs/>
                <w:color w:val="FFFFFF"/>
                <w:sz w:val="20"/>
                <w:szCs w:val="20"/>
              </w:rPr>
              <w:t xml:space="preserve">% of 222</w:t>
            </w:r>
          </w:p>
        </w:tc>
        <w:tc>
          <w:tcPr>
            <w:tcW w:type="dxa" w:w="2760"/>
            <w:tcBorders>
              <w:top w:val="single" w:color="CCCCCC" w:sz="1"/>
              <w:left w:val="single" w:color="CCCCCC" w:sz="1"/>
              <w:bottom w:val="single" w:color="CCCCCC" w:sz="1"/>
              <w:right w:val="single" w:color="CCCCCC" w:sz="1"/>
            </w:tcBorders>
            <w:shd w:fill="1C2B3A" w:val="clear"/>
            <w:tcMar>
              <w:top w:type="dxa" w:w="80"/>
              <w:left w:type="dxa" w:w="110"/>
              <w:bottom w:type="dxa" w:w="80"/>
              <w:right w:type="dxa" w:w="110"/>
            </w:tcMar>
          </w:tcPr>
          <w:p>
            <w:r>
              <w:rPr>
                <w:rFonts w:ascii="Calibri" w:cs="Calibri" w:eastAsia="Calibri" w:hAnsi="Calibri"/>
                <w:b/>
                <w:bCs/>
                <w:color w:val="FFFFFF"/>
                <w:sz w:val="20"/>
                <w:szCs w:val="20"/>
              </w:rPr>
              <w:t xml:space="preserve">Treatment</w:t>
            </w:r>
          </w:p>
        </w:tc>
      </w:tr>
      <w:tr>
        <w:tc>
          <w:tcPr>
            <w:tcW w:type="dxa" w:w="3400"/>
            <w:tcBorders>
              <w:top w:val="single" w:color="CCCCCC" w:sz="1"/>
              <w:left w:val="single" w:color="CCCCCC" w:sz="1"/>
              <w:bottom w:val="single" w:color="CCCCCC" w:sz="1"/>
              <w:right w:val="single" w:color="CCCCCC" w:sz="1"/>
            </w:tcBorders>
            <w:shd w:fill="F0FAF3"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All VSes valid</w:t>
            </w:r>
          </w:p>
        </w:tc>
        <w:tc>
          <w:tcPr>
            <w:tcW w:type="dxa" w:w="1600"/>
            <w:tcBorders>
              <w:top w:val="single" w:color="CCCCCC" w:sz="1"/>
              <w:left w:val="single" w:color="CCCCCC" w:sz="1"/>
              <w:bottom w:val="single" w:color="CCCCCC" w:sz="1"/>
              <w:right w:val="single" w:color="CCCCCC" w:sz="1"/>
            </w:tcBorders>
            <w:shd w:fill="F0FAF3" w:val="clear"/>
            <w:tcMar>
              <w:top w:type="dxa" w:w="70"/>
              <w:left w:type="dxa" w:w="110"/>
              <w:bottom w:type="dxa" w:w="70"/>
              <w:right w:type="dxa" w:w="110"/>
            </w:tcMar>
          </w:tcPr>
          <w:p>
            <w:r>
              <w:rPr>
                <w:rFonts w:ascii="Calibri" w:cs="Calibri" w:eastAsia="Calibri" w:hAnsi="Calibri"/>
                <w:b/>
                <w:bCs/>
                <w:color w:val="1C2B3A"/>
                <w:sz w:val="20"/>
                <w:szCs w:val="20"/>
              </w:rPr>
              <w:t xml:space="preserve">111</w:t>
            </w:r>
          </w:p>
        </w:tc>
        <w:tc>
          <w:tcPr>
            <w:tcW w:type="dxa" w:w="1600"/>
            <w:tcBorders>
              <w:top w:val="single" w:color="CCCCCC" w:sz="1"/>
              <w:left w:val="single" w:color="CCCCCC" w:sz="1"/>
              <w:bottom w:val="single" w:color="CCCCCC" w:sz="1"/>
              <w:right w:val="single" w:color="CCCCCC" w:sz="1"/>
            </w:tcBorders>
            <w:shd w:fill="F0FAF3"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50.0%</w:t>
            </w:r>
          </w:p>
        </w:tc>
        <w:tc>
          <w:tcPr>
            <w:tcW w:type="dxa" w:w="2760"/>
            <w:tcBorders>
              <w:top w:val="single" w:color="CCCCCC" w:sz="1"/>
              <w:left w:val="single" w:color="CCCCCC" w:sz="1"/>
              <w:bottom w:val="single" w:color="CCCCCC" w:sz="1"/>
              <w:right w:val="single" w:color="CCCCCC" w:sz="1"/>
            </w:tcBorders>
            <w:shd w:fill="F0FAF3" w:val="clear"/>
            <w:tcMar>
              <w:top w:type="dxa" w:w="70"/>
              <w:left w:type="dxa" w:w="110"/>
              <w:bottom w:type="dxa" w:w="70"/>
              <w:right w:type="dxa" w:w="110"/>
            </w:tcMar>
          </w:tcPr>
          <w:p>
            <w:r>
              <w:rPr>
                <w:rFonts w:ascii="Calibri" w:cs="Calibri" w:eastAsia="Calibri" w:hAnsi="Calibri"/>
                <w:b/>
                <w:bCs/>
                <w:color w:val="1A7A3A"/>
                <w:sz w:val="20"/>
                <w:szCs w:val="20"/>
              </w:rPr>
              <w:t xml:space="preserve">Fully usable</w:t>
            </w:r>
          </w:p>
        </w:tc>
      </w:tr>
      <w:tr>
        <w:tc>
          <w:tcPr>
            <w:tcW w:type="dxa" w:w="3400"/>
            <w:tcBorders>
              <w:top w:val="single" w:color="CCCCCC" w:sz="1"/>
              <w:left w:val="single" w:color="CCCCCC" w:sz="1"/>
              <w:bottom w:val="single" w:color="CCCCCC" w:sz="1"/>
              <w:right w:val="single" w:color="CCCCCC" w:sz="1"/>
            </w:tcBorders>
            <w:shd w:fill="FFFBF0"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Mixed — some valid, some invalid</w:t>
            </w:r>
          </w:p>
        </w:tc>
        <w:tc>
          <w:tcPr>
            <w:tcW w:type="dxa" w:w="1600"/>
            <w:tcBorders>
              <w:top w:val="single" w:color="CCCCCC" w:sz="1"/>
              <w:left w:val="single" w:color="CCCCCC" w:sz="1"/>
              <w:bottom w:val="single" w:color="CCCCCC" w:sz="1"/>
              <w:right w:val="single" w:color="CCCCCC" w:sz="1"/>
            </w:tcBorders>
            <w:shd w:fill="FFFBF0" w:val="clear"/>
            <w:tcMar>
              <w:top w:type="dxa" w:w="70"/>
              <w:left w:type="dxa" w:w="110"/>
              <w:bottom w:type="dxa" w:w="70"/>
              <w:right w:type="dxa" w:w="110"/>
            </w:tcMar>
          </w:tcPr>
          <w:p>
            <w:r>
              <w:rPr>
                <w:rFonts w:ascii="Calibri" w:cs="Calibri" w:eastAsia="Calibri" w:hAnsi="Calibri"/>
                <w:b/>
                <w:bCs/>
                <w:color w:val="1C2B3A"/>
                <w:sz w:val="20"/>
                <w:szCs w:val="20"/>
              </w:rPr>
              <w:t xml:space="preserve">21</w:t>
            </w:r>
          </w:p>
        </w:tc>
        <w:tc>
          <w:tcPr>
            <w:tcW w:type="dxa" w:w="1600"/>
            <w:tcBorders>
              <w:top w:val="single" w:color="CCCCCC" w:sz="1"/>
              <w:left w:val="single" w:color="CCCCCC" w:sz="1"/>
              <w:bottom w:val="single" w:color="CCCCCC" w:sz="1"/>
              <w:right w:val="single" w:color="CCCCCC" w:sz="1"/>
            </w:tcBorders>
            <w:shd w:fill="FFFBF0"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9.5%</w:t>
            </w:r>
          </w:p>
        </w:tc>
        <w:tc>
          <w:tcPr>
            <w:tcW w:type="dxa" w:w="2760"/>
            <w:tcBorders>
              <w:top w:val="single" w:color="CCCCCC" w:sz="1"/>
              <w:left w:val="single" w:color="CCCCCC" w:sz="1"/>
              <w:bottom w:val="single" w:color="CCCCCC" w:sz="1"/>
              <w:right w:val="single" w:color="CCCCCC" w:sz="1"/>
            </w:tcBorders>
            <w:shd w:fill="FFFBF0" w:val="clear"/>
            <w:tcMar>
              <w:top w:type="dxa" w:w="70"/>
              <w:left w:type="dxa" w:w="110"/>
              <w:bottom w:type="dxa" w:w="70"/>
              <w:right w:type="dxa" w:w="110"/>
            </w:tcMar>
          </w:tcPr>
          <w:p>
            <w:r>
              <w:rPr>
                <w:rFonts w:ascii="Calibri" w:cs="Calibri" w:eastAsia="Calibri" w:hAnsi="Calibri"/>
                <w:b/>
                <w:bCs/>
                <w:color w:val="B8860B"/>
                <w:sz w:val="20"/>
                <w:szCs w:val="20"/>
              </w:rPr>
              <w:t xml:space="preserve">Valid VSes extracted and used</w:t>
            </w:r>
          </w:p>
        </w:tc>
      </w:tr>
      <w:tr>
        <w:tc>
          <w:tcPr>
            <w:tcW w:type="dxa" w:w="3400"/>
            <w:tcBorders>
              <w:top w:val="single" w:color="CCCCCC" w:sz="1"/>
              <w:left w:val="single" w:color="CCCCCC" w:sz="1"/>
              <w:bottom w:val="single" w:color="CCCCCC" w:sz="1"/>
              <w:right w:val="single" w:color="CCCCCC" w:sz="1"/>
            </w:tcBorders>
            <w:shd w:fill="FDF2F2"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None valid</w:t>
            </w:r>
          </w:p>
        </w:tc>
        <w:tc>
          <w:tcPr>
            <w:tcW w:type="dxa" w:w="1600"/>
            <w:tcBorders>
              <w:top w:val="single" w:color="CCCCCC" w:sz="1"/>
              <w:left w:val="single" w:color="CCCCCC" w:sz="1"/>
              <w:bottom w:val="single" w:color="CCCCCC" w:sz="1"/>
              <w:right w:val="single" w:color="CCCCCC" w:sz="1"/>
            </w:tcBorders>
            <w:shd w:fill="FDF2F2" w:val="clear"/>
            <w:tcMar>
              <w:top w:type="dxa" w:w="70"/>
              <w:left w:type="dxa" w:w="110"/>
              <w:bottom w:type="dxa" w:w="70"/>
              <w:right w:type="dxa" w:w="110"/>
            </w:tcMar>
          </w:tcPr>
          <w:p>
            <w:r>
              <w:rPr>
                <w:rFonts w:ascii="Calibri" w:cs="Calibri" w:eastAsia="Calibri" w:hAnsi="Calibri"/>
                <w:b/>
                <w:bCs/>
                <w:color w:val="1C2B3A"/>
                <w:sz w:val="20"/>
                <w:szCs w:val="20"/>
              </w:rPr>
              <w:t xml:space="preserve">90</w:t>
            </w:r>
          </w:p>
        </w:tc>
        <w:tc>
          <w:tcPr>
            <w:tcW w:type="dxa" w:w="1600"/>
            <w:tcBorders>
              <w:top w:val="single" w:color="CCCCCC" w:sz="1"/>
              <w:left w:val="single" w:color="CCCCCC" w:sz="1"/>
              <w:bottom w:val="single" w:color="CCCCCC" w:sz="1"/>
              <w:right w:val="single" w:color="CCCCCC" w:sz="1"/>
            </w:tcBorders>
            <w:shd w:fill="FDF2F2"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40.5%</w:t>
            </w:r>
          </w:p>
        </w:tc>
        <w:tc>
          <w:tcPr>
            <w:tcW w:type="dxa" w:w="2760"/>
            <w:tcBorders>
              <w:top w:val="single" w:color="CCCCCC" w:sz="1"/>
              <w:left w:val="single" w:color="CCCCCC" w:sz="1"/>
              <w:bottom w:val="single" w:color="CCCCCC" w:sz="1"/>
              <w:right w:val="single" w:color="CCCCCC" w:sz="1"/>
            </w:tcBorders>
            <w:shd w:fill="FDF2F2" w:val="clear"/>
            <w:tcMar>
              <w:top w:type="dxa" w:w="70"/>
              <w:left w:type="dxa" w:w="110"/>
              <w:bottom w:type="dxa" w:w="70"/>
              <w:right w:type="dxa" w:w="110"/>
            </w:tcMar>
          </w:tcPr>
          <w:p>
            <w:r>
              <w:rPr>
                <w:rFonts w:ascii="Calibri" w:cs="Calibri" w:eastAsia="Calibri" w:hAnsi="Calibri"/>
                <w:b/>
                <w:bCs/>
                <w:color w:val="B83232"/>
                <w:sz w:val="20"/>
                <w:szCs w:val="20"/>
              </w:rPr>
              <w:t xml:space="preserve">Excluded</w:t>
            </w:r>
          </w:p>
        </w:tc>
      </w:tr>
    </w:tbl>
    <w:p>
      <w:pPr>
        <w:spacing w:after="120"/>
      </w:pPr>
      <w:r>
        <w:rPr>
          <w:rFonts w:ascii="Calibri" w:cs="Calibri" w:eastAsia="Calibri" w:hAnsi="Calibri"/>
          <w:b w:val="false"/>
          <w:bCs w:val="false"/>
          <w:color w:val="1C2B3A"/>
          <w:sz w:val="22"/>
          <w:szCs w:val="22"/>
        </w:rPr>
        <w:t xml:space="preserve">Half the labeled tickets are fully clean. The 21 mixed tickets are included in the usable pool — their valid VSes are extracted and the invalid ones dropped. The 90 none-valid tickets are a significant loss and worth understanding better: these were tickets where BAs actively attached Themes but none mapped to the approved 50.</w:t>
      </w:r>
    </w:p>
    <w:p>
      <w:pPr>
        <w:spacing w:after="120"/>
      </w:pPr>
      <w:r>
        <w:rPr>
          <w:rFonts w:ascii="Calibri" w:cs="Calibri" w:eastAsia="Calibri" w:hAnsi="Calibri"/>
          <w:b w:val="false"/>
          <w:bCs w:val="false"/>
          <w:color w:val="1C2B3A"/>
          <w:sz w:val="22"/>
          <w:szCs w:val="22"/>
        </w:rPr>
        <w:t xml:space="preserve">Three likely explanations for the none-valid pool: free-text Theme names that didn't follow catalog naming, VSes from an older catalog version, or manually created Themes outside the approved taxonomy. If any of these 90 can be manually mapped to approved VSes it would increase the labeled pool by up to 68%.</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single" w:color="B83232" w:sz="12"/>
              <w:bottom w:val="none" w:color="FFFFFF" w:sz="0"/>
              <w:right w:val="none" w:color="FFFFFF" w:sz="0"/>
            </w:tcBorders>
            <w:shd w:fill="FDF2F2" w:val="clear"/>
            <w:tcMar>
              <w:top w:type="dxa" w:w="100"/>
              <w:left w:type="dxa" w:w="180"/>
              <w:bottom w:type="dxa" w:w="100"/>
              <w:right w:type="dxa" w:w="140"/>
            </w:tcMar>
          </w:tcPr>
          <w:p>
            <w:pPr>
              <w:spacing w:after="0"/>
            </w:pPr>
            <w:r>
              <w:rPr>
                <w:rFonts w:ascii="Calibri" w:cs="Calibri" w:eastAsia="Calibri" w:hAnsi="Calibri"/>
                <w:b w:val="false"/>
                <w:bCs w:val="false"/>
                <w:i/>
                <w:iCs/>
                <w:color w:val="1C2B3A"/>
                <w:sz w:val="20"/>
                <w:szCs w:val="20"/>
              </w:rPr>
              <w:t xml:space="preserve">40.5% of VS-labeled tickets had no valid VSes — nearly as many as the fully valid set. This is a data quality issue that's worth a deeper look. Even partial recovery of the 90 none-valid tickets would meaningfully expand the training set.</w:t>
            </w:r>
          </w:p>
        </w:tc>
      </w:tr>
    </w:tbl>
    <w:p>
      <w:pPr>
        <w:pStyle w:val="Heading1"/>
        <w:pBdr>
          <w:bottom w:val="single" w:color="CCCCCC" w:sz="4" w:space="4"/>
        </w:pBdr>
        <w:spacing w:after="120" w:before="360"/>
      </w:pPr>
      <w:r>
        <w:rPr>
          <w:rFonts w:ascii="Calibri" w:cs="Calibri" w:eastAsia="Calibri" w:hAnsi="Calibri"/>
          <w:b/>
          <w:bCs/>
          <w:color w:val="1C2B3A"/>
          <w:sz w:val="30"/>
          <w:szCs w:val="30"/>
        </w:rPr>
        <w:t xml:space="preserve">3. Label Quality — Single vs Multi-label</w:t>
      </w:r>
    </w:p>
    <w:p>
      <w:pPr>
        <w:spacing w:after="120"/>
      </w:pPr>
      <w:r>
        <w:rPr>
          <w:rFonts w:ascii="Calibri" w:cs="Calibri" w:eastAsia="Calibri" w:hAnsi="Calibri"/>
          <w:b w:val="false"/>
          <w:bCs w:val="false"/>
          <w:color w:val="1C2B3A"/>
          <w:sz w:val="22"/>
          <w:szCs w:val="22"/>
        </w:rPr>
        <w:t xml:space="preserve">Within the 132 usable tickets, about 30% have only 1 VS attached. This is a known quality issue — the ticket context frequently implies more VSes than BAs labeled. It has a direct and measurable impact on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3360"/>
      </w:tblGrid>
      <w:tr>
        <w:tc>
          <w:tcPr>
            <w:tcW w:type="dxa" w:w="2800"/>
            <w:tcBorders>
              <w:top w:val="single" w:color="CCCCCC" w:sz="1"/>
              <w:left w:val="single" w:color="CCCCCC" w:sz="1"/>
              <w:bottom w:val="single" w:color="CCCCCC" w:sz="1"/>
              <w:right w:val="single" w:color="CCCCCC" w:sz="1"/>
            </w:tcBorders>
            <w:shd w:fill="1C2B3A" w:val="clear"/>
            <w:tcMar>
              <w:top w:type="dxa" w:w="80"/>
              <w:left w:type="dxa" w:w="110"/>
              <w:bottom w:type="dxa" w:w="80"/>
              <w:right w:type="dxa" w:w="110"/>
            </w:tcMar>
          </w:tcPr>
          <w:p>
            <w:r>
              <w:rPr>
                <w:rFonts w:ascii="Calibri" w:cs="Calibri" w:eastAsia="Calibri" w:hAnsi="Calibri"/>
                <w:b/>
                <w:bCs/>
                <w:color w:val="FFFFFF"/>
                <w:sz w:val="20"/>
                <w:szCs w:val="20"/>
              </w:rPr>
              <w:t xml:space="preserve">VS count per ticket</w:t>
            </w:r>
          </w:p>
        </w:tc>
        <w:tc>
          <w:tcPr>
            <w:tcW w:type="dxa" w:w="1600"/>
            <w:tcBorders>
              <w:top w:val="single" w:color="CCCCCC" w:sz="1"/>
              <w:left w:val="single" w:color="CCCCCC" w:sz="1"/>
              <w:bottom w:val="single" w:color="CCCCCC" w:sz="1"/>
              <w:right w:val="single" w:color="CCCCCC" w:sz="1"/>
            </w:tcBorders>
            <w:shd w:fill="1C2B3A" w:val="clear"/>
            <w:tcMar>
              <w:top w:type="dxa" w:w="80"/>
              <w:left w:type="dxa" w:w="110"/>
              <w:bottom w:type="dxa" w:w="80"/>
              <w:right w:type="dxa" w:w="110"/>
            </w:tcMar>
          </w:tcPr>
          <w:p>
            <w:r>
              <w:rPr>
                <w:rFonts w:ascii="Calibri" w:cs="Calibri" w:eastAsia="Calibri" w:hAnsi="Calibri"/>
                <w:b/>
                <w:bCs/>
                <w:color w:val="FFFFFF"/>
                <w:sz w:val="20"/>
                <w:szCs w:val="20"/>
              </w:rPr>
              <w:t xml:space="preserve">Approx tickets</w:t>
            </w:r>
          </w:p>
        </w:tc>
        <w:tc>
          <w:tcPr>
            <w:tcW w:type="dxa" w:w="1600"/>
            <w:tcBorders>
              <w:top w:val="single" w:color="CCCCCC" w:sz="1"/>
              <w:left w:val="single" w:color="CCCCCC" w:sz="1"/>
              <w:bottom w:val="single" w:color="CCCCCC" w:sz="1"/>
              <w:right w:val="single" w:color="CCCCCC" w:sz="1"/>
            </w:tcBorders>
            <w:shd w:fill="1C2B3A" w:val="clear"/>
            <w:tcMar>
              <w:top w:type="dxa" w:w="80"/>
              <w:left w:type="dxa" w:w="110"/>
              <w:bottom w:type="dxa" w:w="80"/>
              <w:right w:type="dxa" w:w="110"/>
            </w:tcMar>
          </w:tcPr>
          <w:p>
            <w:r>
              <w:rPr>
                <w:rFonts w:ascii="Calibri" w:cs="Calibri" w:eastAsia="Calibri" w:hAnsi="Calibri"/>
                <w:b/>
                <w:bCs/>
                <w:color w:val="FFFFFF"/>
                <w:sz w:val="20"/>
                <w:szCs w:val="20"/>
              </w:rPr>
              <w:t xml:space="preserve">% of pool</w:t>
            </w:r>
          </w:p>
        </w:tc>
        <w:tc>
          <w:tcPr>
            <w:tcW w:type="dxa" w:w="3360"/>
            <w:tcBorders>
              <w:top w:val="single" w:color="CCCCCC" w:sz="1"/>
              <w:left w:val="single" w:color="CCCCCC" w:sz="1"/>
              <w:bottom w:val="single" w:color="CCCCCC" w:sz="1"/>
              <w:right w:val="single" w:color="CCCCCC" w:sz="1"/>
            </w:tcBorders>
            <w:shd w:fill="1C2B3A" w:val="clear"/>
            <w:tcMar>
              <w:top w:type="dxa" w:w="80"/>
              <w:left w:type="dxa" w:w="110"/>
              <w:bottom w:type="dxa" w:w="80"/>
              <w:right w:type="dxa" w:w="110"/>
            </w:tcMar>
          </w:tcPr>
          <w:p>
            <w:r>
              <w:rPr>
                <w:rFonts w:ascii="Calibri" w:cs="Calibri" w:eastAsia="Calibri" w:hAnsi="Calibri"/>
                <w:b/>
                <w:bCs/>
                <w:color w:val="FFFFFF"/>
                <w:sz w:val="20"/>
                <w:szCs w:val="20"/>
              </w:rPr>
              <w:t xml:space="preserve">Eval impact</w:t>
            </w:r>
          </w:p>
        </w:tc>
      </w:tr>
      <w:tr>
        <w:tc>
          <w:tcPr>
            <w:tcW w:type="dxa" w:w="2800"/>
            <w:tcBorders>
              <w:top w:val="single" w:color="CCCCCC" w:sz="1"/>
              <w:left w:val="single" w:color="CCCCCC" w:sz="1"/>
              <w:bottom w:val="single" w:color="CCCCCC" w:sz="1"/>
              <w:right w:val="single" w:color="CCCCCC" w:sz="1"/>
            </w:tcBorders>
            <w:shd w:fill="FDF2F2"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1 VS only</w:t>
            </w:r>
          </w:p>
        </w:tc>
        <w:tc>
          <w:tcPr>
            <w:tcW w:type="dxa" w:w="1600"/>
            <w:tcBorders>
              <w:top w:val="single" w:color="CCCCCC" w:sz="1"/>
              <w:left w:val="single" w:color="CCCCCC" w:sz="1"/>
              <w:bottom w:val="single" w:color="CCCCCC" w:sz="1"/>
              <w:right w:val="single" w:color="CCCCCC" w:sz="1"/>
            </w:tcBorders>
            <w:shd w:fill="FDF2F2" w:val="clear"/>
            <w:tcMar>
              <w:top w:type="dxa" w:w="70"/>
              <w:left w:type="dxa" w:w="110"/>
              <w:bottom w:type="dxa" w:w="70"/>
              <w:right w:type="dxa" w:w="110"/>
            </w:tcMar>
          </w:tcPr>
          <w:p>
            <w:r>
              <w:rPr>
                <w:rFonts w:ascii="Calibri" w:cs="Calibri" w:eastAsia="Calibri" w:hAnsi="Calibri"/>
                <w:b/>
                <w:bCs/>
                <w:color w:val="1C2B3A"/>
                <w:sz w:val="20"/>
                <w:szCs w:val="20"/>
              </w:rPr>
              <w:t xml:space="preserve">~40</w:t>
            </w:r>
          </w:p>
        </w:tc>
        <w:tc>
          <w:tcPr>
            <w:tcW w:type="dxa" w:w="1600"/>
            <w:tcBorders>
              <w:top w:val="single" w:color="CCCCCC" w:sz="1"/>
              <w:left w:val="single" w:color="CCCCCC" w:sz="1"/>
              <w:bottom w:val="single" w:color="CCCCCC" w:sz="1"/>
              <w:right w:val="single" w:color="CCCCCC" w:sz="1"/>
            </w:tcBorders>
            <w:shd w:fill="FDF2F2" w:val="clear"/>
            <w:tcMar>
              <w:top w:type="dxa" w:w="70"/>
              <w:left w:type="dxa" w:w="110"/>
              <w:bottom w:type="dxa" w:w="70"/>
              <w:right w:type="dxa" w:w="110"/>
            </w:tcMar>
          </w:tcPr>
          <w:p>
            <w:r>
              <w:rPr>
                <w:rFonts w:ascii="Calibri" w:cs="Calibri" w:eastAsia="Calibri" w:hAnsi="Calibri"/>
                <w:b w:val="false"/>
                <w:bCs w:val="false"/>
                <w:color w:val="B83232"/>
                <w:sz w:val="20"/>
                <w:szCs w:val="20"/>
              </w:rPr>
              <w:t xml:space="preserve">~30%</w:t>
            </w:r>
          </w:p>
        </w:tc>
        <w:tc>
          <w:tcPr>
            <w:tcW w:type="dxa" w:w="3360"/>
            <w:tcBorders>
              <w:top w:val="single" w:color="CCCCCC" w:sz="1"/>
              <w:left w:val="single" w:color="CCCCCC" w:sz="1"/>
              <w:bottom w:val="single" w:color="CCCCCC" w:sz="1"/>
              <w:right w:val="single" w:color="CCCCCC" w:sz="1"/>
            </w:tcBorders>
            <w:shd w:fill="FDF2F2"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Any additional model prediction = false positive in eval, even if correct</w:t>
            </w:r>
          </w:p>
        </w:tc>
      </w:tr>
      <w:tr>
        <w:tc>
          <w:tcPr>
            <w:tcW w:type="dxa" w:w="2800"/>
            <w:tcBorders>
              <w:top w:val="single" w:color="CCCCCC" w:sz="1"/>
              <w:left w:val="single" w:color="CCCCCC" w:sz="1"/>
              <w:bottom w:val="single" w:color="CCCCCC" w:sz="1"/>
              <w:right w:val="single" w:color="CCCCCC" w:sz="1"/>
            </w:tcBorders>
            <w:shd w:fill="F0FAF3"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2+ VSes</w:t>
            </w:r>
          </w:p>
        </w:tc>
        <w:tc>
          <w:tcPr>
            <w:tcW w:type="dxa" w:w="1600"/>
            <w:tcBorders>
              <w:top w:val="single" w:color="CCCCCC" w:sz="1"/>
              <w:left w:val="single" w:color="CCCCCC" w:sz="1"/>
              <w:bottom w:val="single" w:color="CCCCCC" w:sz="1"/>
              <w:right w:val="single" w:color="CCCCCC" w:sz="1"/>
            </w:tcBorders>
            <w:shd w:fill="F0FAF3" w:val="clear"/>
            <w:tcMar>
              <w:top w:type="dxa" w:w="70"/>
              <w:left w:type="dxa" w:w="110"/>
              <w:bottom w:type="dxa" w:w="70"/>
              <w:right w:type="dxa" w:w="110"/>
            </w:tcMar>
          </w:tcPr>
          <w:p>
            <w:r>
              <w:rPr>
                <w:rFonts w:ascii="Calibri" w:cs="Calibri" w:eastAsia="Calibri" w:hAnsi="Calibri"/>
                <w:b/>
                <w:bCs/>
                <w:color w:val="1C2B3A"/>
                <w:sz w:val="20"/>
                <w:szCs w:val="20"/>
              </w:rPr>
              <w:t xml:space="preserve">~92</w:t>
            </w:r>
          </w:p>
        </w:tc>
        <w:tc>
          <w:tcPr>
            <w:tcW w:type="dxa" w:w="1600"/>
            <w:tcBorders>
              <w:top w:val="single" w:color="CCCCCC" w:sz="1"/>
              <w:left w:val="single" w:color="CCCCCC" w:sz="1"/>
              <w:bottom w:val="single" w:color="CCCCCC" w:sz="1"/>
              <w:right w:val="single" w:color="CCCCCC" w:sz="1"/>
            </w:tcBorders>
            <w:shd w:fill="F0FAF3" w:val="clear"/>
            <w:tcMar>
              <w:top w:type="dxa" w:w="70"/>
              <w:left w:type="dxa" w:w="110"/>
              <w:bottom w:type="dxa" w:w="70"/>
              <w:right w:type="dxa" w:w="110"/>
            </w:tcMar>
          </w:tcPr>
          <w:p>
            <w:r>
              <w:rPr>
                <w:rFonts w:ascii="Calibri" w:cs="Calibri" w:eastAsia="Calibri" w:hAnsi="Calibri"/>
                <w:b w:val="false"/>
                <w:bCs w:val="false"/>
                <w:color w:val="1A7A3A"/>
                <w:sz w:val="20"/>
                <w:szCs w:val="20"/>
              </w:rPr>
              <w:t xml:space="preserve">~70%</w:t>
            </w:r>
          </w:p>
        </w:tc>
        <w:tc>
          <w:tcPr>
            <w:tcW w:type="dxa" w:w="3360"/>
            <w:tcBorders>
              <w:top w:val="single" w:color="CCCCCC" w:sz="1"/>
              <w:left w:val="single" w:color="CCCCCC" w:sz="1"/>
              <w:bottom w:val="single" w:color="CCCCCC" w:sz="1"/>
              <w:right w:val="single" w:color="CCCCCC" w:sz="1"/>
            </w:tcBorders>
            <w:shd w:fill="F0FAF3"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More complete GT — better signal for recall measurement</w:t>
            </w:r>
          </w:p>
        </w:tc>
      </w:tr>
      <w:tr>
        <w:tc>
          <w:tcPr>
            <w:tcW w:type="dxa" w:w="2800"/>
            <w:tcBorders>
              <w:top w:val="single" w:color="CCCCCC" w:sz="1"/>
              <w:left w:val="single" w:color="CCCCCC" w:sz="1"/>
              <w:bottom w:val="single" w:color="CCCCCC" w:sz="1"/>
              <w:right w:val="single" w:color="CCCCCC" w:sz="1"/>
            </w:tcBorders>
            <w:shd w:fill="EBF3FA"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Total usable pool</w:t>
            </w:r>
          </w:p>
        </w:tc>
        <w:tc>
          <w:tcPr>
            <w:tcW w:type="dxa" w:w="1600"/>
            <w:tcBorders>
              <w:top w:val="single" w:color="CCCCCC" w:sz="1"/>
              <w:left w:val="single" w:color="CCCCCC" w:sz="1"/>
              <w:bottom w:val="single" w:color="CCCCCC" w:sz="1"/>
              <w:right w:val="single" w:color="CCCCCC" w:sz="1"/>
            </w:tcBorders>
            <w:shd w:fill="EBF3FA" w:val="clear"/>
            <w:tcMar>
              <w:top w:type="dxa" w:w="70"/>
              <w:left w:type="dxa" w:w="110"/>
              <w:bottom w:type="dxa" w:w="70"/>
              <w:right w:type="dxa" w:w="110"/>
            </w:tcMar>
          </w:tcPr>
          <w:p>
            <w:r>
              <w:rPr>
                <w:rFonts w:ascii="Calibri" w:cs="Calibri" w:eastAsia="Calibri" w:hAnsi="Calibri"/>
                <w:b/>
                <w:bCs/>
                <w:color w:val="1C2B3A"/>
                <w:sz w:val="20"/>
                <w:szCs w:val="20"/>
              </w:rPr>
              <w:t xml:space="preserve">132</w:t>
            </w:r>
          </w:p>
        </w:tc>
        <w:tc>
          <w:tcPr>
            <w:tcW w:type="dxa" w:w="1600"/>
            <w:tcBorders>
              <w:top w:val="single" w:color="CCCCCC" w:sz="1"/>
              <w:left w:val="single" w:color="CCCCCC" w:sz="1"/>
              <w:bottom w:val="single" w:color="CCCCCC" w:sz="1"/>
              <w:right w:val="single" w:color="CCCCCC" w:sz="1"/>
            </w:tcBorders>
            <w:shd w:fill="EBF3FA"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100%</w:t>
            </w:r>
          </w:p>
        </w:tc>
        <w:tc>
          <w:tcPr>
            <w:tcW w:type="dxa" w:w="3360"/>
            <w:tcBorders>
              <w:top w:val="single" w:color="CCCCCC" w:sz="1"/>
              <w:left w:val="single" w:color="CCCCCC" w:sz="1"/>
              <w:bottom w:val="single" w:color="CCCCCC" w:sz="1"/>
              <w:right w:val="single" w:color="CCCCCC" w:sz="1"/>
            </w:tcBorders>
            <w:shd w:fill="EBF3FA"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
            </w:r>
          </w:p>
        </w:tc>
      </w:tr>
    </w:tbl>
    <w:p>
      <w:pPr>
        <w:spacing w:after="120"/>
      </w:pPr>
      <w:r>
        <w:rPr>
          <w:rFonts w:ascii="Calibri" w:cs="Calibri" w:eastAsia="Calibri" w:hAnsi="Calibri"/>
          <w:b w:val="false"/>
          <w:bCs w:val="false"/>
          <w:color w:val="1C2B3A"/>
          <w:sz w:val="22"/>
          <w:szCs w:val="22"/>
        </w:rPr>
        <w:t xml:space="preserve">The practical effect on metrics: every time the model predicts a second VS on a single-label ticket — even one that's contextually correct — it registers as a false positive. This means the model's measured precision is pessimistic. The true precision is likely higher, but we can't confirm that without a human review pass on those single-label tickets to check whether the model's additional predictions are actually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single" w:color="1A5EA8" w:sz="12"/>
              <w:bottom w:val="none" w:color="FFFFFF" w:sz="0"/>
              <w:right w:val="none" w:color="FFFFFF" w:sz="0"/>
            </w:tcBorders>
            <w:shd w:fill="EBF3FA" w:val="clear"/>
            <w:tcMar>
              <w:top w:type="dxa" w:w="100"/>
              <w:left w:type="dxa" w:w="180"/>
              <w:bottom w:type="dxa" w:w="100"/>
              <w:right w:type="dxa" w:w="140"/>
            </w:tcMar>
          </w:tcPr>
          <w:p>
            <w:pPr>
              <w:spacing w:after="0"/>
            </w:pPr>
            <w:r>
              <w:rPr>
                <w:rFonts w:ascii="Calibri" w:cs="Calibri" w:eastAsia="Calibri" w:hAnsi="Calibri"/>
                <w:b w:val="false"/>
                <w:bCs w:val="false"/>
                <w:i/>
                <w:iCs/>
                <w:color w:val="1C2B3A"/>
                <w:sz w:val="20"/>
                <w:szCs w:val="20"/>
              </w:rPr>
              <w:t xml:space="preserve">The ~30% single-label rate is the primary reason not to take the 65%+ precision number at face value. It's a floor, not a ceiling.</w:t>
            </w:r>
          </w:p>
        </w:tc>
      </w:tr>
    </w:tbl>
    <w:p>
      <w:pPr>
        <w:pStyle w:val="Heading1"/>
        <w:pBdr>
          <w:bottom w:val="single" w:color="CCCCCC" w:sz="4" w:space="4"/>
        </w:pBdr>
        <w:spacing w:after="120" w:before="360"/>
      </w:pPr>
      <w:r>
        <w:rPr>
          <w:rFonts w:ascii="Calibri" w:cs="Calibri" w:eastAsia="Calibri" w:hAnsi="Calibri"/>
          <w:b/>
          <w:bCs/>
          <w:color w:val="1C2B3A"/>
          <w:sz w:val="30"/>
          <w:szCs w:val="30"/>
        </w:rPr>
        <w:t xml:space="preserve">4. Idea Card Availability</w:t>
      </w:r>
    </w:p>
    <w:p>
      <w:pPr>
        <w:spacing w:after="120"/>
      </w:pPr>
      <w:r>
        <w:rPr>
          <w:rFonts w:ascii="Calibri" w:cs="Calibri" w:eastAsia="Calibri" w:hAnsi="Calibri"/>
          <w:b w:val="false"/>
          <w:bCs w:val="false"/>
          <w:color w:val="1C2B3A"/>
          <w:sz w:val="22"/>
          <w:szCs w:val="22"/>
        </w:rPr>
        <w:t xml:space="preserve">Idea Cards are the primary input context for prediction. Only 82 of the 132 usable tickets had one available — the rest either had no attachment or a dead SharePoint link. This matters because the eval set is bounded by idea card availability: a ticket without an idea card can't be properly evaluated.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4560"/>
      </w:tblGrid>
      <w:tr>
        <w:tc>
          <w:tcPr>
            <w:tcW w:type="dxa" w:w="3400"/>
            <w:tcBorders>
              <w:top w:val="single" w:color="CCCCCC" w:sz="1"/>
              <w:left w:val="single" w:color="CCCCCC" w:sz="1"/>
              <w:bottom w:val="single" w:color="CCCCCC" w:sz="1"/>
              <w:right w:val="single" w:color="CCCCCC" w:sz="1"/>
            </w:tcBorders>
            <w:shd w:fill="1C2B3A" w:val="clear"/>
            <w:tcMar>
              <w:top w:type="dxa" w:w="80"/>
              <w:left w:type="dxa" w:w="110"/>
              <w:bottom w:type="dxa" w:w="80"/>
              <w:right w:type="dxa" w:w="110"/>
            </w:tcMar>
          </w:tcPr>
          <w:p>
            <w:r>
              <w:rPr>
                <w:rFonts w:ascii="Calibri" w:cs="Calibri" w:eastAsia="Calibri" w:hAnsi="Calibri"/>
                <w:b/>
                <w:bCs/>
                <w:color w:val="FFFFFF"/>
                <w:sz w:val="20"/>
                <w:szCs w:val="20"/>
              </w:rPr>
              <w:t xml:space="preserve">Category</w:t>
            </w:r>
          </w:p>
        </w:tc>
        <w:tc>
          <w:tcPr>
            <w:tcW w:type="dxa" w:w="1400"/>
            <w:tcBorders>
              <w:top w:val="single" w:color="CCCCCC" w:sz="1"/>
              <w:left w:val="single" w:color="CCCCCC" w:sz="1"/>
              <w:bottom w:val="single" w:color="CCCCCC" w:sz="1"/>
              <w:right w:val="single" w:color="CCCCCC" w:sz="1"/>
            </w:tcBorders>
            <w:shd w:fill="1C2B3A" w:val="clear"/>
            <w:tcMar>
              <w:top w:type="dxa" w:w="80"/>
              <w:left w:type="dxa" w:w="110"/>
              <w:bottom w:type="dxa" w:w="80"/>
              <w:right w:type="dxa" w:w="110"/>
            </w:tcMar>
          </w:tcPr>
          <w:p>
            <w:r>
              <w:rPr>
                <w:rFonts w:ascii="Calibri" w:cs="Calibri" w:eastAsia="Calibri" w:hAnsi="Calibri"/>
                <w:b/>
                <w:bCs/>
                <w:color w:val="FFFFFF"/>
                <w:sz w:val="20"/>
                <w:szCs w:val="20"/>
              </w:rPr>
              <w:t xml:space="preserve">Count</w:t>
            </w:r>
          </w:p>
        </w:tc>
        <w:tc>
          <w:tcPr>
            <w:tcW w:type="dxa" w:w="4560"/>
            <w:tcBorders>
              <w:top w:val="single" w:color="CCCCCC" w:sz="1"/>
              <w:left w:val="single" w:color="CCCCCC" w:sz="1"/>
              <w:bottom w:val="single" w:color="CCCCCC" w:sz="1"/>
              <w:right w:val="single" w:color="CCCCCC" w:sz="1"/>
            </w:tcBorders>
            <w:shd w:fill="1C2B3A" w:val="clear"/>
            <w:tcMar>
              <w:top w:type="dxa" w:w="80"/>
              <w:left w:type="dxa" w:w="110"/>
              <w:bottom w:type="dxa" w:w="80"/>
              <w:right w:type="dxa" w:w="110"/>
            </w:tcMar>
          </w:tcPr>
          <w:p>
            <w:r>
              <w:rPr>
                <w:rFonts w:ascii="Calibri" w:cs="Calibri" w:eastAsia="Calibri" w:hAnsi="Calibri"/>
                <w:b/>
                <w:bCs/>
                <w:color w:val="FFFFFF"/>
                <w:sz w:val="20"/>
                <w:szCs w:val="20"/>
              </w:rPr>
              <w:t xml:space="preserve">Notes</w:t>
            </w:r>
          </w:p>
        </w:tc>
      </w:tr>
      <w:tr>
        <w:tc>
          <w:tcPr>
            <w:tcW w:type="dxa" w:w="3400"/>
            <w:tcBorders>
              <w:top w:val="single" w:color="CCCCCC" w:sz="1"/>
              <w:left w:val="single" w:color="CCCCCC" w:sz="1"/>
              <w:bottom w:val="single" w:color="CCCCCC" w:sz="1"/>
              <w:right w:val="single" w:color="CCCCCC" w:sz="1"/>
            </w:tcBorders>
            <w:shd w:fill="EBF3FA"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Usable labeled pool</w:t>
            </w:r>
          </w:p>
        </w:tc>
        <w:tc>
          <w:tcPr>
            <w:tcW w:type="dxa" w:w="1400"/>
            <w:tcBorders>
              <w:top w:val="single" w:color="CCCCCC" w:sz="1"/>
              <w:left w:val="single" w:color="CCCCCC" w:sz="1"/>
              <w:bottom w:val="single" w:color="CCCCCC" w:sz="1"/>
              <w:right w:val="single" w:color="CCCCCC" w:sz="1"/>
            </w:tcBorders>
            <w:shd w:fill="EBF3FA" w:val="clear"/>
            <w:tcMar>
              <w:top w:type="dxa" w:w="70"/>
              <w:left w:type="dxa" w:w="110"/>
              <w:bottom w:type="dxa" w:w="70"/>
              <w:right w:type="dxa" w:w="110"/>
            </w:tcMar>
          </w:tcPr>
          <w:p>
            <w:r>
              <w:rPr>
                <w:rFonts w:ascii="Calibri" w:cs="Calibri" w:eastAsia="Calibri" w:hAnsi="Calibri"/>
                <w:b/>
                <w:bCs/>
                <w:color w:val="1C2B3A"/>
                <w:sz w:val="20"/>
                <w:szCs w:val="20"/>
              </w:rPr>
              <w:t xml:space="preserve">132</w:t>
            </w:r>
          </w:p>
        </w:tc>
        <w:tc>
          <w:tcPr>
            <w:tcW w:type="dxa" w:w="4560"/>
            <w:tcBorders>
              <w:top w:val="single" w:color="CCCCCC" w:sz="1"/>
              <w:left w:val="single" w:color="CCCCCC" w:sz="1"/>
              <w:bottom w:val="single" w:color="CCCCCC" w:sz="1"/>
              <w:right w:val="single" w:color="CCCCCC" w:sz="1"/>
            </w:tcBorders>
            <w:shd w:fill="EBF3FA"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Total pool available</w:t>
            </w:r>
          </w:p>
        </w:tc>
      </w:tr>
      <w:tr>
        <w:tc>
          <w:tcPr>
            <w:tcW w:type="dxa" w:w="3400"/>
            <w:tcBorders>
              <w:top w:val="single" w:color="CCCCCC" w:sz="1"/>
              <w:left w:val="single" w:color="CCCCCC" w:sz="1"/>
              <w:bottom w:val="single" w:color="CCCCCC" w:sz="1"/>
              <w:right w:val="single" w:color="CCCCCC" w:sz="1"/>
            </w:tcBorders>
            <w:shd w:fill="F0FAF3"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Had idea card (PPTX/PDF/DOCX attached)</w:t>
            </w:r>
          </w:p>
        </w:tc>
        <w:tc>
          <w:tcPr>
            <w:tcW w:type="dxa" w:w="1400"/>
            <w:tcBorders>
              <w:top w:val="single" w:color="CCCCCC" w:sz="1"/>
              <w:left w:val="single" w:color="CCCCCC" w:sz="1"/>
              <w:bottom w:val="single" w:color="CCCCCC" w:sz="1"/>
              <w:right w:val="single" w:color="CCCCCC" w:sz="1"/>
            </w:tcBorders>
            <w:shd w:fill="F0FAF3" w:val="clear"/>
            <w:tcMar>
              <w:top w:type="dxa" w:w="70"/>
              <w:left w:type="dxa" w:w="110"/>
              <w:bottom w:type="dxa" w:w="70"/>
              <w:right w:type="dxa" w:w="110"/>
            </w:tcMar>
          </w:tcPr>
          <w:p>
            <w:r>
              <w:rPr>
                <w:rFonts w:ascii="Calibri" w:cs="Calibri" w:eastAsia="Calibri" w:hAnsi="Calibri"/>
                <w:b/>
                <w:bCs/>
                <w:color w:val="1A7A3A"/>
                <w:sz w:val="20"/>
                <w:szCs w:val="20"/>
              </w:rPr>
              <w:t xml:space="preserve">82</w:t>
            </w:r>
          </w:p>
        </w:tc>
        <w:tc>
          <w:tcPr>
            <w:tcW w:type="dxa" w:w="4560"/>
            <w:tcBorders>
              <w:top w:val="single" w:color="CCCCCC" w:sz="1"/>
              <w:left w:val="single" w:color="CCCCCC" w:sz="1"/>
              <w:bottom w:val="single" w:color="CCCCCC" w:sz="1"/>
              <w:right w:val="single" w:color="CCCCCC" w:sz="1"/>
            </w:tcBorders>
            <w:shd w:fill="F0FAF3"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62.1% — full eval set</w:t>
            </w:r>
          </w:p>
        </w:tc>
      </w:tr>
      <w:tr>
        <w:tc>
          <w:tcPr>
            <w:tcW w:type="dxa" w:w="3400"/>
            <w:tcBorders>
              <w:top w:val="single" w:color="CCCCCC" w:sz="1"/>
              <w:left w:val="single" w:color="CCCCCC" w:sz="1"/>
              <w:bottom w:val="single" w:color="CCCCCC" w:sz="1"/>
              <w:right w:val="single" w:color="CCCCCC" w:sz="1"/>
            </w:tcBorders>
            <w:shd w:fill="EBF3FA"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Had SharePoint link in description</w:t>
            </w:r>
          </w:p>
        </w:tc>
        <w:tc>
          <w:tcPr>
            <w:tcW w:type="dxa" w:w="1400"/>
            <w:tcBorders>
              <w:top w:val="single" w:color="CCCCCC" w:sz="1"/>
              <w:left w:val="single" w:color="CCCCCC" w:sz="1"/>
              <w:bottom w:val="single" w:color="CCCCCC" w:sz="1"/>
              <w:right w:val="single" w:color="CCCCCC" w:sz="1"/>
            </w:tcBorders>
            <w:shd w:fill="EBF3FA"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~32</w:t>
            </w:r>
          </w:p>
        </w:tc>
        <w:tc>
          <w:tcPr>
            <w:tcW w:type="dxa" w:w="4560"/>
            <w:tcBorders>
              <w:top w:val="single" w:color="CCCCCC" w:sz="1"/>
              <w:left w:val="single" w:color="CCCCCC" w:sz="1"/>
              <w:bottom w:val="single" w:color="CCCCCC" w:sz="1"/>
              <w:right w:val="single" w:color="CCCCCC" w:sz="1"/>
            </w:tcBorders>
            <w:shd w:fill="EBF3FA"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Of those, ~90% were dead at ingestion time (~29 dead)</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Description-only context (no idea card)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50</w:t>
            </w:r>
          </w:p>
        </w:tc>
        <w:tc>
          <w:tcPr>
            <w:tcW w:type="dxa" w:w="4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37.9% of pool — ingested with weaker context</w:t>
            </w:r>
          </w:p>
        </w:tc>
      </w:tr>
    </w:tbl>
    <w:p>
      <w:pPr>
        <w:spacing w:after="120"/>
      </w:pPr>
      <w:r>
        <w:rPr>
          <w:rFonts w:ascii="Calibri" w:cs="Calibri" w:eastAsia="Calibri" w:hAnsi="Calibri"/>
          <w:b w:val="false"/>
          <w:bCs w:val="false"/>
          <w:color w:val="1C2B3A"/>
          <w:sz w:val="22"/>
          <w:szCs w:val="22"/>
        </w:rPr>
        <w:t xml:space="preserve">The 50 tickets without idea cards were still ingested into idp_idmt_data using description and any other available attachments. They contribute to the historical retrieval pool but with weaker context than the 82 idea-card tickets. This creates an uneven quality baseline in the historical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single" w:color="B83232" w:sz="12"/>
              <w:bottom w:val="none" w:color="FFFFFF" w:sz="0"/>
              <w:right w:val="none" w:color="FFFFFF" w:sz="0"/>
            </w:tcBorders>
            <w:shd w:fill="FDF2F2" w:val="clear"/>
            <w:tcMar>
              <w:top w:type="dxa" w:w="100"/>
              <w:left w:type="dxa" w:w="180"/>
              <w:bottom w:type="dxa" w:w="100"/>
              <w:right w:type="dxa" w:w="140"/>
            </w:tcMar>
          </w:tcPr>
          <w:p>
            <w:pPr>
              <w:spacing w:after="0"/>
            </w:pPr>
            <w:r>
              <w:rPr>
                <w:rFonts w:ascii="Calibri" w:cs="Calibri" w:eastAsia="Calibri" w:hAnsi="Calibri"/>
                <w:b w:val="false"/>
                <w:bCs w:val="false"/>
                <w:i/>
                <w:iCs/>
                <w:color w:val="1C2B3A"/>
                <w:sz w:val="20"/>
                <w:szCs w:val="20"/>
              </w:rPr>
              <w:t xml:space="preserve">~90% of the ~32 tickets with SharePoint links in descriptions had dead links at ingestion time. SharePoint links in Jira description fields are effectively unreliable as an idea card source. The ingestion pipeline makes the HTTP request and logs the result — but almost always falls back to attachments anyway.</w:t>
            </w:r>
          </w:p>
        </w:tc>
      </w:tr>
    </w:tbl>
    <w:p>
      <w:pPr>
        <w:pStyle w:val="Heading1"/>
        <w:pBdr>
          <w:bottom w:val="single" w:color="CCCCCC" w:sz="4" w:space="4"/>
        </w:pBdr>
        <w:spacing w:after="120" w:before="360"/>
      </w:pPr>
      <w:r>
        <w:rPr>
          <w:rFonts w:ascii="Calibri" w:cs="Calibri" w:eastAsia="Calibri" w:hAnsi="Calibri"/>
          <w:b/>
          <w:bCs/>
          <w:color w:val="1C2B3A"/>
          <w:sz w:val="30"/>
          <w:szCs w:val="30"/>
        </w:rPr>
        <w:t xml:space="preserve">5. Value Stream Frequency Distribution</w:t>
      </w:r>
    </w:p>
    <w:p>
      <w:pPr>
        <w:spacing w:after="120"/>
      </w:pPr>
      <w:r>
        <w:rPr>
          <w:rFonts w:ascii="Calibri" w:cs="Calibri" w:eastAsia="Calibri" w:hAnsi="Calibri"/>
          <w:b w:val="false"/>
          <w:bCs w:val="false"/>
          <w:color w:val="1C2B3A"/>
          <w:sz w:val="22"/>
          <w:szCs w:val="22"/>
        </w:rPr>
        <w:t xml:space="preserve">Not all 50 VSes appear equally in the labeled pool. The distribution is heavily skewed — a handful of VSes dominate, and 13 of the 50 have zero appearances. This distribution directly affects model performance: rare or absent VSes have little to no historical retrieval signal and are harder to predict.</w:t>
      </w:r>
    </w:p>
    <w:p>
      <w:pPr>
        <w:pStyle w:val="Heading2"/>
        <w:spacing w:after="80" w:before="240"/>
      </w:pPr>
      <w:r>
        <w:rPr>
          <w:rFonts w:ascii="Calibri" w:cs="Calibri" w:eastAsia="Calibri" w:hAnsi="Calibri"/>
          <w:b/>
          <w:bCs/>
          <w:color w:val="1A5EA8"/>
          <w:sz w:val="24"/>
          <w:szCs w:val="24"/>
        </w:rPr>
        <w:t xml:space="preserve">5.1 Top VSes by ticket appearances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700"/>
        <w:gridCol w:w="5260"/>
      </w:tblGrid>
      <w:tr>
        <w:tc>
          <w:tcPr>
            <w:tcW w:type="dxa" w:w="3400"/>
            <w:tcBorders>
              <w:top w:val="single" w:color="CCCCCC" w:sz="1"/>
              <w:left w:val="single" w:color="CCCCCC" w:sz="1"/>
              <w:bottom w:val="single" w:color="CCCCCC" w:sz="1"/>
              <w:right w:val="single" w:color="CCCCCC" w:sz="1"/>
            </w:tcBorders>
            <w:shd w:fill="1C2B3A" w:val="clear"/>
            <w:tcMar>
              <w:top w:type="dxa" w:w="80"/>
              <w:left w:type="dxa" w:w="110"/>
              <w:bottom w:type="dxa" w:w="80"/>
              <w:right w:type="dxa" w:w="110"/>
            </w:tcMar>
          </w:tcPr>
          <w:p>
            <w:r>
              <w:rPr>
                <w:rFonts w:ascii="Calibri" w:cs="Calibri" w:eastAsia="Calibri" w:hAnsi="Calibri"/>
                <w:b/>
                <w:bCs/>
                <w:color w:val="FFFFFF"/>
                <w:sz w:val="20"/>
                <w:szCs w:val="20"/>
              </w:rPr>
              <w:t xml:space="preserve">Value Stream</w:t>
            </w:r>
          </w:p>
        </w:tc>
        <w:tc>
          <w:tcPr>
            <w:tcW w:type="dxa" w:w="700"/>
            <w:tcBorders>
              <w:top w:val="single" w:color="CCCCCC" w:sz="1"/>
              <w:left w:val="single" w:color="CCCCCC" w:sz="1"/>
              <w:bottom w:val="single" w:color="CCCCCC" w:sz="1"/>
              <w:right w:val="single" w:color="CCCCCC" w:sz="1"/>
            </w:tcBorders>
            <w:shd w:fill="1C2B3A" w:val="clear"/>
            <w:tcMar>
              <w:top w:type="dxa" w:w="80"/>
              <w:left w:type="dxa" w:w="110"/>
              <w:bottom w:type="dxa" w:w="80"/>
              <w:right w:type="dxa" w:w="110"/>
            </w:tcMar>
          </w:tcPr>
          <w:p>
            <w:r>
              <w:rPr>
                <w:rFonts w:ascii="Calibri" w:cs="Calibri" w:eastAsia="Calibri" w:hAnsi="Calibri"/>
                <w:b/>
                <w:bCs/>
                <w:color w:val="FFFFFF"/>
                <w:sz w:val="20"/>
                <w:szCs w:val="20"/>
              </w:rPr>
              <w:t xml:space="preserve">n</w:t>
            </w:r>
          </w:p>
        </w:tc>
        <w:tc>
          <w:tcPr>
            <w:tcW w:type="dxa" w:w="5260"/>
            <w:tcBorders>
              <w:top w:val="single" w:color="CCCCCC" w:sz="1"/>
              <w:left w:val="single" w:color="CCCCCC" w:sz="1"/>
              <w:bottom w:val="single" w:color="CCCCCC" w:sz="1"/>
              <w:right w:val="single" w:color="CCCCCC" w:sz="1"/>
            </w:tcBorders>
            <w:shd w:fill="1C2B3A" w:val="clear"/>
            <w:tcMar>
              <w:top w:type="dxa" w:w="80"/>
              <w:left w:type="dxa" w:w="110"/>
              <w:bottom w:type="dxa" w:w="80"/>
              <w:right w:type="dxa" w:w="110"/>
            </w:tcMar>
          </w:tcPr>
          <w:p>
            <w:r>
              <w:rPr>
                <w:rFonts w:ascii="Calibri" w:cs="Calibri" w:eastAsia="Calibri" w:hAnsi="Calibri"/>
                <w:b/>
                <w:bCs/>
                <w:color w:val="FFFFFF"/>
                <w:sz w:val="20"/>
                <w:szCs w:val="20"/>
              </w:rPr>
              <w:t xml:space="preserve">Frequency (relative)</w:t>
            </w:r>
          </w:p>
        </w:tc>
      </w:tr>
      <w:tr>
        <w:tc>
          <w:tcPr>
            <w:tcW w:type="dxa" w:w="3400"/>
            <w:tcBorders>
              <w:top w:val="single" w:color="CCCCCC" w:sz="1"/>
              <w:left w:val="single" w:color="CCCCCC" w:sz="1"/>
              <w:bottom w:val="single" w:color="CCCCCC" w:sz="1"/>
              <w:right w:val="single" w:color="CCCCCC" w:sz="1"/>
            </w:tcBorders>
            <w:shd w:fill="EBF3FA"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Order to Cash for Group Coverage</w:t>
            </w:r>
          </w:p>
        </w:tc>
        <w:tc>
          <w:tcPr>
            <w:tcW w:type="dxa" w:w="700"/>
            <w:tcBorders>
              <w:top w:val="single" w:color="CCCCCC" w:sz="1"/>
              <w:left w:val="single" w:color="CCCCCC" w:sz="1"/>
              <w:bottom w:val="single" w:color="CCCCCC" w:sz="1"/>
              <w:right w:val="single" w:color="CCCCCC" w:sz="1"/>
            </w:tcBorders>
            <w:shd w:fill="EBF3FA" w:val="clear"/>
            <w:tcMar>
              <w:top w:type="dxa" w:w="70"/>
              <w:left w:type="dxa" w:w="110"/>
              <w:bottom w:type="dxa" w:w="70"/>
              <w:right w:type="dxa" w:w="110"/>
            </w:tcMar>
          </w:tcPr>
          <w:p>
            <w:r>
              <w:rPr>
                <w:rFonts w:ascii="Calibri" w:cs="Calibri" w:eastAsia="Calibri" w:hAnsi="Calibri"/>
                <w:b/>
                <w:bCs/>
                <w:color w:val="1C2B3A"/>
                <w:sz w:val="20"/>
                <w:szCs w:val="20"/>
              </w:rPr>
              <w:t xml:space="preserve">78</w:t>
            </w:r>
          </w:p>
        </w:tc>
        <w:tc>
          <w:tcPr>
            <w:tcW w:type="dxa" w:w="5260"/>
            <w:tcBorders>
              <w:top w:val="single" w:color="CCCCCC" w:sz="1"/>
              <w:left w:val="single" w:color="CCCCCC" w:sz="1"/>
              <w:bottom w:val="single" w:color="CCCCCC" w:sz="1"/>
              <w:right w:val="single" w:color="CCCCCC" w:sz="1"/>
            </w:tcBorders>
            <w:shd w:fill="EBF3FA" w:val="clear"/>
            <w:tcMar>
              <w:top w:type="dxa" w:w="70"/>
              <w:left w:type="dxa" w:w="60"/>
              <w:bottom w:type="dxa" w:w="70"/>
              <w:right w:type="dxa" w:w="60"/>
            </w:tcMar>
          </w:tcPr>
          <w:tbl>
            <w:tblPr>
              <w:tblW w:type="dxa" w:w="5140"/>
              <w:tblBorders>
                <w:top w:val="single" w:color="auto" w:sz="4"/>
                <w:left w:val="single" w:color="auto" w:sz="4"/>
                <w:bottom w:val="single" w:color="auto" w:sz="4"/>
                <w:right w:val="single" w:color="auto" w:sz="4"/>
                <w:insideH w:val="single" w:color="auto" w:sz="4"/>
                <w:insideV w:val="single" w:color="auto" w:sz="4"/>
              </w:tblBorders>
            </w:tblPr>
            <w:tblGrid>
              <w:gridCol w:w="5060"/>
              <w:gridCol w:w="200"/>
            </w:tblGrid>
            <w:tr>
              <w:tc>
                <w:tcPr>
                  <w:tcW w:type="dxa" w:w="5060"/>
                  <w:tcBorders>
                    <w:top w:val="none" w:color="FFFFFF" w:sz="0"/>
                    <w:left w:val="none" w:color="FFFFFF" w:sz="0"/>
                    <w:bottom w:val="none" w:color="FFFFFF" w:sz="0"/>
                    <w:right w:val="none" w:color="FFFFFF" w:sz="0"/>
                  </w:tcBorders>
                  <w:shd w:fill="1A5EA8" w:val="clear"/>
                </w:tcPr>
                <w:p>
                  <w:r>
                    <w:rPr>
                      <w:sz w:val="16"/>
                      <w:szCs w:val="16"/>
                    </w:rPr>
                    <w:t xml:space="preserve"/>
                  </w:r>
                </w:p>
              </w:tc>
              <w:tc>
                <w:tcPr>
                  <w:tcW w:type="dxa" w:w="200"/>
                  <w:tcBorders>
                    <w:top w:val="none" w:color="FFFFFF" w:sz="0"/>
                    <w:left w:val="none" w:color="FFFFFF" w:sz="0"/>
                    <w:bottom w:val="none" w:color="FFFFFF" w:sz="0"/>
                    <w:right w:val="none" w:color="FFFFFF" w:sz="0"/>
                  </w:tcBorders>
                </w:tcPr>
                <w:p>
                  <w:r>
                    <w:rPr>
                      <w:sz w:val="16"/>
                      <w:szCs w:val="16"/>
                    </w:rPr>
                    <w:t xml:space="preserve"/>
                  </w:r>
                </w:p>
              </w:tc>
            </w:tr>
          </w:tbl>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Establish Product Offering</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bCs/>
                <w:color w:val="1C2B3A"/>
                <w:sz w:val="20"/>
                <w:szCs w:val="20"/>
              </w:rPr>
              <w:t xml:space="preserve">78</w:t>
            </w:r>
          </w:p>
        </w:tc>
        <w:tc>
          <w:tcPr>
            <w:tcW w:type="dxa" w:w="526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tbl>
            <w:tblPr>
              <w:tblW w:type="dxa" w:w="5140"/>
              <w:tblBorders>
                <w:top w:val="single" w:color="auto" w:sz="4"/>
                <w:left w:val="single" w:color="auto" w:sz="4"/>
                <w:bottom w:val="single" w:color="auto" w:sz="4"/>
                <w:right w:val="single" w:color="auto" w:sz="4"/>
                <w:insideH w:val="single" w:color="auto" w:sz="4"/>
                <w:insideV w:val="single" w:color="auto" w:sz="4"/>
              </w:tblBorders>
            </w:tblPr>
            <w:tblGrid>
              <w:gridCol w:w="5060"/>
              <w:gridCol w:w="200"/>
            </w:tblGrid>
            <w:tr>
              <w:tc>
                <w:tcPr>
                  <w:tcW w:type="dxa" w:w="5060"/>
                  <w:tcBorders>
                    <w:top w:val="none" w:color="FFFFFF" w:sz="0"/>
                    <w:left w:val="none" w:color="FFFFFF" w:sz="0"/>
                    <w:bottom w:val="none" w:color="FFFFFF" w:sz="0"/>
                    <w:right w:val="none" w:color="FFFFFF" w:sz="0"/>
                  </w:tcBorders>
                  <w:shd w:fill="1A5EA8" w:val="clear"/>
                </w:tcPr>
                <w:p>
                  <w:r>
                    <w:rPr>
                      <w:sz w:val="16"/>
                      <w:szCs w:val="16"/>
                    </w:rPr>
                    <w:t xml:space="preserve"/>
                  </w:r>
                </w:p>
              </w:tc>
              <w:tc>
                <w:tcPr>
                  <w:tcW w:type="dxa" w:w="200"/>
                  <w:tcBorders>
                    <w:top w:val="none" w:color="FFFFFF" w:sz="0"/>
                    <w:left w:val="none" w:color="FFFFFF" w:sz="0"/>
                    <w:bottom w:val="none" w:color="FFFFFF" w:sz="0"/>
                    <w:right w:val="none" w:color="FFFFFF" w:sz="0"/>
                  </w:tcBorders>
                </w:tcPr>
                <w:p>
                  <w:r>
                    <w:rPr>
                      <w:sz w:val="16"/>
                      <w:szCs w:val="16"/>
                    </w:rPr>
                    <w:t xml:space="preserve"/>
                  </w:r>
                </w:p>
              </w:tc>
            </w:tr>
          </w:tbl>
          <w:p/>
        </w:tc>
      </w:tr>
      <w:tr>
        <w:tc>
          <w:tcPr>
            <w:tcW w:type="dxa" w:w="3400"/>
            <w:tcBorders>
              <w:top w:val="single" w:color="CCCCCC" w:sz="1"/>
              <w:left w:val="single" w:color="CCCCCC" w:sz="1"/>
              <w:bottom w:val="single" w:color="CCCCCC" w:sz="1"/>
              <w:right w:val="single" w:color="CCCCCC" w:sz="1"/>
            </w:tcBorders>
            <w:shd w:fill="EBF3FA"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Resolve Request-Inquiry</w:t>
            </w:r>
          </w:p>
        </w:tc>
        <w:tc>
          <w:tcPr>
            <w:tcW w:type="dxa" w:w="700"/>
            <w:tcBorders>
              <w:top w:val="single" w:color="CCCCCC" w:sz="1"/>
              <w:left w:val="single" w:color="CCCCCC" w:sz="1"/>
              <w:bottom w:val="single" w:color="CCCCCC" w:sz="1"/>
              <w:right w:val="single" w:color="CCCCCC" w:sz="1"/>
            </w:tcBorders>
            <w:shd w:fill="EBF3FA" w:val="clear"/>
            <w:tcMar>
              <w:top w:type="dxa" w:w="70"/>
              <w:left w:type="dxa" w:w="110"/>
              <w:bottom w:type="dxa" w:w="70"/>
              <w:right w:type="dxa" w:w="110"/>
            </w:tcMar>
          </w:tcPr>
          <w:p>
            <w:r>
              <w:rPr>
                <w:rFonts w:ascii="Calibri" w:cs="Calibri" w:eastAsia="Calibri" w:hAnsi="Calibri"/>
                <w:b/>
                <w:bCs/>
                <w:color w:val="1C2B3A"/>
                <w:sz w:val="20"/>
                <w:szCs w:val="20"/>
              </w:rPr>
              <w:t xml:space="preserve">58</w:t>
            </w:r>
          </w:p>
        </w:tc>
        <w:tc>
          <w:tcPr>
            <w:tcW w:type="dxa" w:w="5260"/>
            <w:tcBorders>
              <w:top w:val="single" w:color="CCCCCC" w:sz="1"/>
              <w:left w:val="single" w:color="CCCCCC" w:sz="1"/>
              <w:bottom w:val="single" w:color="CCCCCC" w:sz="1"/>
              <w:right w:val="single" w:color="CCCCCC" w:sz="1"/>
            </w:tcBorders>
            <w:shd w:fill="EBF3FA" w:val="clear"/>
            <w:tcMar>
              <w:top w:type="dxa" w:w="70"/>
              <w:left w:type="dxa" w:w="60"/>
              <w:bottom w:type="dxa" w:w="70"/>
              <w:right w:type="dxa" w:w="60"/>
            </w:tcMar>
          </w:tcPr>
          <w:tbl>
            <w:tblPr>
              <w:tblW w:type="dxa" w:w="5140"/>
              <w:tblBorders>
                <w:top w:val="single" w:color="auto" w:sz="4"/>
                <w:left w:val="single" w:color="auto" w:sz="4"/>
                <w:bottom w:val="single" w:color="auto" w:sz="4"/>
                <w:right w:val="single" w:color="auto" w:sz="4"/>
                <w:insideH w:val="single" w:color="auto" w:sz="4"/>
                <w:insideV w:val="single" w:color="auto" w:sz="4"/>
              </w:tblBorders>
            </w:tblPr>
            <w:tblGrid>
              <w:gridCol w:w="3763"/>
              <w:gridCol w:w="1497"/>
            </w:tblGrid>
            <w:tr>
              <w:tc>
                <w:tcPr>
                  <w:tcW w:type="dxa" w:w="3763"/>
                  <w:tcBorders>
                    <w:top w:val="none" w:color="FFFFFF" w:sz="0"/>
                    <w:left w:val="none" w:color="FFFFFF" w:sz="0"/>
                    <w:bottom w:val="none" w:color="FFFFFF" w:sz="0"/>
                    <w:right w:val="none" w:color="FFFFFF" w:sz="0"/>
                  </w:tcBorders>
                  <w:shd w:fill="1A5EA8" w:val="clear"/>
                </w:tcPr>
                <w:p>
                  <w:r>
                    <w:rPr>
                      <w:sz w:val="16"/>
                      <w:szCs w:val="16"/>
                    </w:rPr>
                    <w:t xml:space="preserve"/>
                  </w:r>
                </w:p>
              </w:tc>
              <w:tc>
                <w:tcPr>
                  <w:tcW w:type="dxa" w:w="1497"/>
                  <w:tcBorders>
                    <w:top w:val="none" w:color="FFFFFF" w:sz="0"/>
                    <w:left w:val="none" w:color="FFFFFF" w:sz="0"/>
                    <w:bottom w:val="none" w:color="FFFFFF" w:sz="0"/>
                    <w:right w:val="none" w:color="FFFFFF" w:sz="0"/>
                  </w:tcBorders>
                </w:tcPr>
                <w:p>
                  <w:r>
                    <w:rPr>
                      <w:sz w:val="16"/>
                      <w:szCs w:val="16"/>
                    </w:rPr>
                    <w:t xml:space="preserve"/>
                  </w:r>
                </w:p>
              </w:tc>
            </w:tr>
          </w:tbl>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Configure, Price, and Quote</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bCs/>
                <w:color w:val="1C2B3A"/>
                <w:sz w:val="20"/>
                <w:szCs w:val="20"/>
              </w:rPr>
              <w:t xml:space="preserve">54</w:t>
            </w:r>
          </w:p>
        </w:tc>
        <w:tc>
          <w:tcPr>
            <w:tcW w:type="dxa" w:w="526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tbl>
            <w:tblPr>
              <w:tblW w:type="dxa" w:w="5140"/>
              <w:tblBorders>
                <w:top w:val="single" w:color="auto" w:sz="4"/>
                <w:left w:val="single" w:color="auto" w:sz="4"/>
                <w:bottom w:val="single" w:color="auto" w:sz="4"/>
                <w:right w:val="single" w:color="auto" w:sz="4"/>
                <w:insideH w:val="single" w:color="auto" w:sz="4"/>
                <w:insideV w:val="single" w:color="auto" w:sz="4"/>
              </w:tblBorders>
            </w:tblPr>
            <w:tblGrid>
              <w:gridCol w:w="3503"/>
              <w:gridCol w:w="1757"/>
            </w:tblGrid>
            <w:tr>
              <w:tc>
                <w:tcPr>
                  <w:tcW w:type="dxa" w:w="3503"/>
                  <w:tcBorders>
                    <w:top w:val="none" w:color="FFFFFF" w:sz="0"/>
                    <w:left w:val="none" w:color="FFFFFF" w:sz="0"/>
                    <w:bottom w:val="none" w:color="FFFFFF" w:sz="0"/>
                    <w:right w:val="none" w:color="FFFFFF" w:sz="0"/>
                  </w:tcBorders>
                  <w:shd w:fill="1A5EA8" w:val="clear"/>
                </w:tcPr>
                <w:p>
                  <w:r>
                    <w:rPr>
                      <w:sz w:val="16"/>
                      <w:szCs w:val="16"/>
                    </w:rPr>
                    <w:t xml:space="preserve"/>
                  </w:r>
                </w:p>
              </w:tc>
              <w:tc>
                <w:tcPr>
                  <w:tcW w:type="dxa" w:w="1757"/>
                  <w:tcBorders>
                    <w:top w:val="none" w:color="FFFFFF" w:sz="0"/>
                    <w:left w:val="none" w:color="FFFFFF" w:sz="0"/>
                    <w:bottom w:val="none" w:color="FFFFFF" w:sz="0"/>
                    <w:right w:val="none" w:color="FFFFFF" w:sz="0"/>
                  </w:tcBorders>
                </w:tcPr>
                <w:p>
                  <w:r>
                    <w:rPr>
                      <w:sz w:val="16"/>
                      <w:szCs w:val="16"/>
                    </w:rPr>
                    <w:t xml:space="preserve"/>
                  </w:r>
                </w:p>
              </w:tc>
            </w:tr>
          </w:tbl>
          <w:p/>
        </w:tc>
      </w:tr>
      <w:tr>
        <w:tc>
          <w:tcPr>
            <w:tcW w:type="dxa" w:w="3400"/>
            <w:tcBorders>
              <w:top w:val="single" w:color="CCCCCC" w:sz="1"/>
              <w:left w:val="single" w:color="CCCCCC" w:sz="1"/>
              <w:bottom w:val="single" w:color="CCCCCC" w:sz="1"/>
              <w:right w:val="single" w:color="CCCCCC" w:sz="1"/>
            </w:tcBorders>
            <w:shd w:fill="EBF3FA"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Discover Business Insights</w:t>
            </w:r>
          </w:p>
        </w:tc>
        <w:tc>
          <w:tcPr>
            <w:tcW w:type="dxa" w:w="700"/>
            <w:tcBorders>
              <w:top w:val="single" w:color="CCCCCC" w:sz="1"/>
              <w:left w:val="single" w:color="CCCCCC" w:sz="1"/>
              <w:bottom w:val="single" w:color="CCCCCC" w:sz="1"/>
              <w:right w:val="single" w:color="CCCCCC" w:sz="1"/>
            </w:tcBorders>
            <w:shd w:fill="EBF3FA" w:val="clear"/>
            <w:tcMar>
              <w:top w:type="dxa" w:w="70"/>
              <w:left w:type="dxa" w:w="110"/>
              <w:bottom w:type="dxa" w:w="70"/>
              <w:right w:type="dxa" w:w="110"/>
            </w:tcMar>
          </w:tcPr>
          <w:p>
            <w:r>
              <w:rPr>
                <w:rFonts w:ascii="Calibri" w:cs="Calibri" w:eastAsia="Calibri" w:hAnsi="Calibri"/>
                <w:b/>
                <w:bCs/>
                <w:color w:val="1C2B3A"/>
                <w:sz w:val="20"/>
                <w:szCs w:val="20"/>
              </w:rPr>
              <w:t xml:space="preserve">43</w:t>
            </w:r>
          </w:p>
        </w:tc>
        <w:tc>
          <w:tcPr>
            <w:tcW w:type="dxa" w:w="5260"/>
            <w:tcBorders>
              <w:top w:val="single" w:color="CCCCCC" w:sz="1"/>
              <w:left w:val="single" w:color="CCCCCC" w:sz="1"/>
              <w:bottom w:val="single" w:color="CCCCCC" w:sz="1"/>
              <w:right w:val="single" w:color="CCCCCC" w:sz="1"/>
            </w:tcBorders>
            <w:shd w:fill="EBF3FA" w:val="clear"/>
            <w:tcMar>
              <w:top w:type="dxa" w:w="70"/>
              <w:left w:type="dxa" w:w="60"/>
              <w:bottom w:type="dxa" w:w="70"/>
              <w:right w:type="dxa" w:w="60"/>
            </w:tcMar>
          </w:tcPr>
          <w:tbl>
            <w:tblPr>
              <w:tblW w:type="dxa" w:w="5140"/>
              <w:tblBorders>
                <w:top w:val="single" w:color="auto" w:sz="4"/>
                <w:left w:val="single" w:color="auto" w:sz="4"/>
                <w:bottom w:val="single" w:color="auto" w:sz="4"/>
                <w:right w:val="single" w:color="auto" w:sz="4"/>
                <w:insideH w:val="single" w:color="auto" w:sz="4"/>
                <w:insideV w:val="single" w:color="auto" w:sz="4"/>
              </w:tblBorders>
            </w:tblPr>
            <w:tblGrid>
              <w:gridCol w:w="2789"/>
              <w:gridCol w:w="2471"/>
            </w:tblGrid>
            <w:tr>
              <w:tc>
                <w:tcPr>
                  <w:tcW w:type="dxa" w:w="2789"/>
                  <w:tcBorders>
                    <w:top w:val="none" w:color="FFFFFF" w:sz="0"/>
                    <w:left w:val="none" w:color="FFFFFF" w:sz="0"/>
                    <w:bottom w:val="none" w:color="FFFFFF" w:sz="0"/>
                    <w:right w:val="none" w:color="FFFFFF" w:sz="0"/>
                  </w:tcBorders>
                  <w:shd w:fill="1A5EA8" w:val="clear"/>
                </w:tcPr>
                <w:p>
                  <w:r>
                    <w:rPr>
                      <w:sz w:val="16"/>
                      <w:szCs w:val="16"/>
                    </w:rPr>
                    <w:t xml:space="preserve"/>
                  </w:r>
                </w:p>
              </w:tc>
              <w:tc>
                <w:tcPr>
                  <w:tcW w:type="dxa" w:w="2471"/>
                  <w:tcBorders>
                    <w:top w:val="none" w:color="FFFFFF" w:sz="0"/>
                    <w:left w:val="none" w:color="FFFFFF" w:sz="0"/>
                    <w:bottom w:val="none" w:color="FFFFFF" w:sz="0"/>
                    <w:right w:val="none" w:color="FFFFFF" w:sz="0"/>
                  </w:tcBorders>
                </w:tcPr>
                <w:p>
                  <w:r>
                    <w:rPr>
                      <w:sz w:val="16"/>
                      <w:szCs w:val="16"/>
                    </w:rPr>
                    <w:t xml:space="preserve"/>
                  </w:r>
                </w:p>
              </w:tc>
            </w:tr>
          </w:tbl>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Adjudicate Claim</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bCs/>
                <w:color w:val="1C2B3A"/>
                <w:sz w:val="20"/>
                <w:szCs w:val="20"/>
              </w:rPr>
              <w:t xml:space="preserve">34</w:t>
            </w:r>
          </w:p>
        </w:tc>
        <w:tc>
          <w:tcPr>
            <w:tcW w:type="dxa" w:w="526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tbl>
            <w:tblPr>
              <w:tblW w:type="dxa" w:w="5140"/>
              <w:tblBorders>
                <w:top w:val="single" w:color="auto" w:sz="4"/>
                <w:left w:val="single" w:color="auto" w:sz="4"/>
                <w:bottom w:val="single" w:color="auto" w:sz="4"/>
                <w:right w:val="single" w:color="auto" w:sz="4"/>
                <w:insideH w:val="single" w:color="auto" w:sz="4"/>
                <w:insideV w:val="single" w:color="auto" w:sz="4"/>
              </w:tblBorders>
            </w:tblPr>
            <w:tblGrid>
              <w:gridCol w:w="2206"/>
              <w:gridCol w:w="3054"/>
            </w:tblGrid>
            <w:tr>
              <w:tc>
                <w:tcPr>
                  <w:tcW w:type="dxa" w:w="2206"/>
                  <w:tcBorders>
                    <w:top w:val="none" w:color="FFFFFF" w:sz="0"/>
                    <w:left w:val="none" w:color="FFFFFF" w:sz="0"/>
                    <w:bottom w:val="none" w:color="FFFFFF" w:sz="0"/>
                    <w:right w:val="none" w:color="FFFFFF" w:sz="0"/>
                  </w:tcBorders>
                  <w:shd w:fill="1A5EA8" w:val="clear"/>
                </w:tcPr>
                <w:p>
                  <w:r>
                    <w:rPr>
                      <w:sz w:val="16"/>
                      <w:szCs w:val="16"/>
                    </w:rPr>
                    <w:t xml:space="preserve"/>
                  </w:r>
                </w:p>
              </w:tc>
              <w:tc>
                <w:tcPr>
                  <w:tcW w:type="dxa" w:w="3054"/>
                  <w:tcBorders>
                    <w:top w:val="none" w:color="FFFFFF" w:sz="0"/>
                    <w:left w:val="none" w:color="FFFFFF" w:sz="0"/>
                    <w:bottom w:val="none" w:color="FFFFFF" w:sz="0"/>
                    <w:right w:val="none" w:color="FFFFFF" w:sz="0"/>
                  </w:tcBorders>
                </w:tcPr>
                <w:p>
                  <w:r>
                    <w:rPr>
                      <w:sz w:val="16"/>
                      <w:szCs w:val="16"/>
                    </w:rPr>
                    <w:t xml:space="preserve"/>
                  </w:r>
                </w:p>
              </w:tc>
            </w:tr>
          </w:tbl>
          <w:p/>
        </w:tc>
      </w:tr>
      <w:tr>
        <w:tc>
          <w:tcPr>
            <w:tcW w:type="dxa" w:w="3400"/>
            <w:tcBorders>
              <w:top w:val="single" w:color="CCCCCC" w:sz="1"/>
              <w:left w:val="single" w:color="CCCCCC" w:sz="1"/>
              <w:bottom w:val="single" w:color="CCCCCC" w:sz="1"/>
              <w:right w:val="single" w:color="CCCCCC" w:sz="1"/>
            </w:tcBorders>
            <w:shd w:fill="EBF3FA"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Perform Engagement</w:t>
            </w:r>
          </w:p>
        </w:tc>
        <w:tc>
          <w:tcPr>
            <w:tcW w:type="dxa" w:w="700"/>
            <w:tcBorders>
              <w:top w:val="single" w:color="CCCCCC" w:sz="1"/>
              <w:left w:val="single" w:color="CCCCCC" w:sz="1"/>
              <w:bottom w:val="single" w:color="CCCCCC" w:sz="1"/>
              <w:right w:val="single" w:color="CCCCCC" w:sz="1"/>
            </w:tcBorders>
            <w:shd w:fill="EBF3FA" w:val="clear"/>
            <w:tcMar>
              <w:top w:type="dxa" w:w="70"/>
              <w:left w:type="dxa" w:w="110"/>
              <w:bottom w:type="dxa" w:w="70"/>
              <w:right w:type="dxa" w:w="110"/>
            </w:tcMar>
          </w:tcPr>
          <w:p>
            <w:r>
              <w:rPr>
                <w:rFonts w:ascii="Calibri" w:cs="Calibri" w:eastAsia="Calibri" w:hAnsi="Calibri"/>
                <w:b/>
                <w:bCs/>
                <w:color w:val="1C2B3A"/>
                <w:sz w:val="20"/>
                <w:szCs w:val="20"/>
              </w:rPr>
              <w:t xml:space="preserve">30</w:t>
            </w:r>
          </w:p>
        </w:tc>
        <w:tc>
          <w:tcPr>
            <w:tcW w:type="dxa" w:w="5260"/>
            <w:tcBorders>
              <w:top w:val="single" w:color="CCCCCC" w:sz="1"/>
              <w:left w:val="single" w:color="CCCCCC" w:sz="1"/>
              <w:bottom w:val="single" w:color="CCCCCC" w:sz="1"/>
              <w:right w:val="single" w:color="CCCCCC" w:sz="1"/>
            </w:tcBorders>
            <w:shd w:fill="EBF3FA" w:val="clear"/>
            <w:tcMar>
              <w:top w:type="dxa" w:w="70"/>
              <w:left w:type="dxa" w:w="60"/>
              <w:bottom w:type="dxa" w:w="70"/>
              <w:right w:type="dxa" w:w="60"/>
            </w:tcMar>
          </w:tcPr>
          <w:tbl>
            <w:tblPr>
              <w:tblW w:type="dxa" w:w="5140"/>
              <w:tblBorders>
                <w:top w:val="single" w:color="auto" w:sz="4"/>
                <w:left w:val="single" w:color="auto" w:sz="4"/>
                <w:bottom w:val="single" w:color="auto" w:sz="4"/>
                <w:right w:val="single" w:color="auto" w:sz="4"/>
                <w:insideH w:val="single" w:color="auto" w:sz="4"/>
                <w:insideV w:val="single" w:color="auto" w:sz="4"/>
              </w:tblBorders>
            </w:tblPr>
            <w:tblGrid>
              <w:gridCol w:w="1946"/>
              <w:gridCol w:w="3314"/>
            </w:tblGrid>
            <w:tr>
              <w:tc>
                <w:tcPr>
                  <w:tcW w:type="dxa" w:w="1946"/>
                  <w:tcBorders>
                    <w:top w:val="none" w:color="FFFFFF" w:sz="0"/>
                    <w:left w:val="none" w:color="FFFFFF" w:sz="0"/>
                    <w:bottom w:val="none" w:color="FFFFFF" w:sz="0"/>
                    <w:right w:val="none" w:color="FFFFFF" w:sz="0"/>
                  </w:tcBorders>
                  <w:shd w:fill="1A5EA8" w:val="clear"/>
                </w:tcPr>
                <w:p>
                  <w:r>
                    <w:rPr>
                      <w:sz w:val="16"/>
                      <w:szCs w:val="16"/>
                    </w:rPr>
                    <w:t xml:space="preserve"/>
                  </w:r>
                </w:p>
              </w:tc>
              <w:tc>
                <w:tcPr>
                  <w:tcW w:type="dxa" w:w="3314"/>
                  <w:tcBorders>
                    <w:top w:val="none" w:color="FFFFFF" w:sz="0"/>
                    <w:left w:val="none" w:color="FFFFFF" w:sz="0"/>
                    <w:bottom w:val="none" w:color="FFFFFF" w:sz="0"/>
                    <w:right w:val="none" w:color="FFFFFF" w:sz="0"/>
                  </w:tcBorders>
                </w:tcPr>
                <w:p>
                  <w:r>
                    <w:rPr>
                      <w:sz w:val="16"/>
                      <w:szCs w:val="16"/>
                    </w:rPr>
                    <w:t xml:space="preserve"/>
                  </w:r>
                </w:p>
              </w:tc>
            </w:tr>
          </w:tbl>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Manage Invoice and Payment Receipt</w:t>
            </w:r>
          </w:p>
        </w:tc>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bCs/>
                <w:color w:val="1C2B3A"/>
                <w:sz w:val="20"/>
                <w:szCs w:val="20"/>
              </w:rPr>
              <w:t xml:space="preserve">28</w:t>
            </w:r>
          </w:p>
        </w:tc>
        <w:tc>
          <w:tcPr>
            <w:tcW w:type="dxa" w:w="526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tbl>
            <w:tblPr>
              <w:tblW w:type="dxa" w:w="5140"/>
              <w:tblBorders>
                <w:top w:val="single" w:color="auto" w:sz="4"/>
                <w:left w:val="single" w:color="auto" w:sz="4"/>
                <w:bottom w:val="single" w:color="auto" w:sz="4"/>
                <w:right w:val="single" w:color="auto" w:sz="4"/>
                <w:insideH w:val="single" w:color="auto" w:sz="4"/>
                <w:insideV w:val="single" w:color="auto" w:sz="4"/>
              </w:tblBorders>
            </w:tblPr>
            <w:tblGrid>
              <w:gridCol w:w="1816"/>
              <w:gridCol w:w="3444"/>
            </w:tblGrid>
            <w:tr>
              <w:tc>
                <w:tcPr>
                  <w:tcW w:type="dxa" w:w="1816"/>
                  <w:tcBorders>
                    <w:top w:val="none" w:color="FFFFFF" w:sz="0"/>
                    <w:left w:val="none" w:color="FFFFFF" w:sz="0"/>
                    <w:bottom w:val="none" w:color="FFFFFF" w:sz="0"/>
                    <w:right w:val="none" w:color="FFFFFF" w:sz="0"/>
                  </w:tcBorders>
                  <w:shd w:fill="1A5EA8" w:val="clear"/>
                </w:tcPr>
                <w:p>
                  <w:r>
                    <w:rPr>
                      <w:sz w:val="16"/>
                      <w:szCs w:val="16"/>
                    </w:rPr>
                    <w:t xml:space="preserve"/>
                  </w:r>
                </w:p>
              </w:tc>
              <w:tc>
                <w:tcPr>
                  <w:tcW w:type="dxa" w:w="3444"/>
                  <w:tcBorders>
                    <w:top w:val="none" w:color="FFFFFF" w:sz="0"/>
                    <w:left w:val="none" w:color="FFFFFF" w:sz="0"/>
                    <w:bottom w:val="none" w:color="FFFFFF" w:sz="0"/>
                    <w:right w:val="none" w:color="FFFFFF" w:sz="0"/>
                  </w:tcBorders>
                </w:tcPr>
                <w:p>
                  <w:r>
                    <w:rPr>
                      <w:sz w:val="16"/>
                      <w:szCs w:val="16"/>
                    </w:rPr>
                    <w:t xml:space="preserve"/>
                  </w:r>
                </w:p>
              </w:tc>
            </w:tr>
          </w:tbl>
          <w:p/>
        </w:tc>
      </w:tr>
      <w:tr>
        <w:tc>
          <w:tcPr>
            <w:tcW w:type="dxa" w:w="3400"/>
            <w:tcBorders>
              <w:top w:val="single" w:color="CCCCCC" w:sz="1"/>
              <w:left w:val="single" w:color="CCCCCC" w:sz="1"/>
              <w:bottom w:val="single" w:color="CCCCCC" w:sz="1"/>
              <w:right w:val="single" w:color="CCCCCC" w:sz="1"/>
            </w:tcBorders>
            <w:shd w:fill="EBF3FA"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Manage Leads and Opportunities</w:t>
            </w:r>
          </w:p>
        </w:tc>
        <w:tc>
          <w:tcPr>
            <w:tcW w:type="dxa" w:w="700"/>
            <w:tcBorders>
              <w:top w:val="single" w:color="CCCCCC" w:sz="1"/>
              <w:left w:val="single" w:color="CCCCCC" w:sz="1"/>
              <w:bottom w:val="single" w:color="CCCCCC" w:sz="1"/>
              <w:right w:val="single" w:color="CCCCCC" w:sz="1"/>
            </w:tcBorders>
            <w:shd w:fill="EBF3FA" w:val="clear"/>
            <w:tcMar>
              <w:top w:type="dxa" w:w="70"/>
              <w:left w:type="dxa" w:w="110"/>
              <w:bottom w:type="dxa" w:w="70"/>
              <w:right w:type="dxa" w:w="110"/>
            </w:tcMar>
          </w:tcPr>
          <w:p>
            <w:r>
              <w:rPr>
                <w:rFonts w:ascii="Calibri" w:cs="Calibri" w:eastAsia="Calibri" w:hAnsi="Calibri"/>
                <w:b/>
                <w:bCs/>
                <w:color w:val="1C2B3A"/>
                <w:sz w:val="20"/>
                <w:szCs w:val="20"/>
              </w:rPr>
              <w:t xml:space="preserve">23</w:t>
            </w:r>
          </w:p>
        </w:tc>
        <w:tc>
          <w:tcPr>
            <w:tcW w:type="dxa" w:w="5260"/>
            <w:tcBorders>
              <w:top w:val="single" w:color="CCCCCC" w:sz="1"/>
              <w:left w:val="single" w:color="CCCCCC" w:sz="1"/>
              <w:bottom w:val="single" w:color="CCCCCC" w:sz="1"/>
              <w:right w:val="single" w:color="CCCCCC" w:sz="1"/>
            </w:tcBorders>
            <w:shd w:fill="EBF3FA" w:val="clear"/>
            <w:tcMar>
              <w:top w:type="dxa" w:w="70"/>
              <w:left w:type="dxa" w:w="60"/>
              <w:bottom w:type="dxa" w:w="70"/>
              <w:right w:type="dxa" w:w="60"/>
            </w:tcMar>
          </w:tcPr>
          <w:tbl>
            <w:tblPr>
              <w:tblW w:type="dxa" w:w="5140"/>
              <w:tblBorders>
                <w:top w:val="single" w:color="auto" w:sz="4"/>
                <w:left w:val="single" w:color="auto" w:sz="4"/>
                <w:bottom w:val="single" w:color="auto" w:sz="4"/>
                <w:right w:val="single" w:color="auto" w:sz="4"/>
                <w:insideH w:val="single" w:color="auto" w:sz="4"/>
                <w:insideV w:val="single" w:color="auto" w:sz="4"/>
              </w:tblBorders>
            </w:tblPr>
            <w:tblGrid>
              <w:gridCol w:w="1492"/>
              <w:gridCol w:w="3768"/>
            </w:tblGrid>
            <w:tr>
              <w:tc>
                <w:tcPr>
                  <w:tcW w:type="dxa" w:w="1492"/>
                  <w:tcBorders>
                    <w:top w:val="none" w:color="FFFFFF" w:sz="0"/>
                    <w:left w:val="none" w:color="FFFFFF" w:sz="0"/>
                    <w:bottom w:val="none" w:color="FFFFFF" w:sz="0"/>
                    <w:right w:val="none" w:color="FFFFFF" w:sz="0"/>
                  </w:tcBorders>
                  <w:shd w:fill="1A5EA8" w:val="clear"/>
                </w:tcPr>
                <w:p>
                  <w:r>
                    <w:rPr>
                      <w:sz w:val="16"/>
                      <w:szCs w:val="16"/>
                    </w:rPr>
                    <w:t xml:space="preserve"/>
                  </w:r>
                </w:p>
              </w:tc>
              <w:tc>
                <w:tcPr>
                  <w:tcW w:type="dxa" w:w="3768"/>
                  <w:tcBorders>
                    <w:top w:val="none" w:color="FFFFFF" w:sz="0"/>
                    <w:left w:val="none" w:color="FFFFFF" w:sz="0"/>
                    <w:bottom w:val="none" w:color="FFFFFF" w:sz="0"/>
                    <w:right w:val="none" w:color="FFFFFF" w:sz="0"/>
                  </w:tcBorders>
                </w:tcPr>
                <w:p>
                  <w:r>
                    <w:rPr>
                      <w:sz w:val="16"/>
                      <w:szCs w:val="16"/>
                    </w:rPr>
                    <w:t xml:space="preserve"/>
                  </w:r>
                </w:p>
              </w:tc>
            </w:tr>
          </w:tbl>
          <w:p/>
        </w:tc>
      </w:tr>
    </w:tbl>
    <w:p>
      <w:pPr>
        <w:spacing w:after="120"/>
      </w:pPr>
      <w:r>
        <w:rPr>
          <w:rFonts w:ascii="Calibri" w:cs="Calibri" w:eastAsia="Calibri" w:hAnsi="Calibri"/>
          <w:b w:val="false"/>
          <w:bCs w:val="false"/>
          <w:color w:val="1C2B3A"/>
          <w:sz w:val="22"/>
          <w:szCs w:val="22"/>
        </w:rPr>
        <w:t xml:space="preserve">Order to Cash for Group Coverage and Establish Product Offering are joint top at 78 appearances each — appearing in 59.1% of labeled tickets. The top 5 VSes alone cover a large share of the labeled pool, while the long tail drops off sharply. The full list continues beyond the top 9 shown — remaining counts are available from the notebook output.</w:t>
      </w:r>
    </w:p>
    <w:p>
      <w:pPr>
        <w:pStyle w:val="Heading2"/>
        <w:spacing w:after="80" w:before="240"/>
      </w:pPr>
      <w:r>
        <w:rPr>
          <w:rFonts w:ascii="Calibri" w:cs="Calibri" w:eastAsia="Calibri" w:hAnsi="Calibri"/>
          <w:b/>
          <w:bCs/>
          <w:color w:val="1A5EA8"/>
          <w:sz w:val="24"/>
          <w:szCs w:val="24"/>
        </w:rPr>
        <w:t xml:space="preserve">5.2 VSes with zero coverage — cold-start gap</w:t>
      </w:r>
    </w:p>
    <w:p>
      <w:pPr>
        <w:spacing w:after="120"/>
      </w:pPr>
      <w:r>
        <w:rPr>
          <w:rFonts w:ascii="Calibri" w:cs="Calibri" w:eastAsia="Calibri" w:hAnsi="Calibri"/>
          <w:b w:val="false"/>
          <w:bCs w:val="false"/>
          <w:color w:val="1C2B3A"/>
          <w:sz w:val="22"/>
          <w:szCs w:val="22"/>
        </w:rPr>
        <w:t xml:space="preserve">13 of the 50 approved VSes appear in none of the 132 labeled tickets. These are the cold-start cases: the historical retrieval step will never return an example for them, so the model falls back entirely to catalog semantic search for these VSes.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single" w:color="CCCCCC" w:sz="1"/>
              <w:left w:val="single" w:color="CCCCCC" w:sz="1"/>
              <w:bottom w:val="single" w:color="CCCCCC" w:sz="1"/>
              <w:right w:val="single" w:color="CCCCCC" w:sz="1"/>
            </w:tcBorders>
            <w:shd w:fill="1C2B3A" w:val="clear"/>
            <w:tcMar>
              <w:top w:type="dxa" w:w="80"/>
              <w:left w:type="dxa" w:w="110"/>
              <w:bottom w:type="dxa" w:w="80"/>
              <w:right w:type="dxa" w:w="110"/>
            </w:tcMar>
          </w:tcPr>
          <w:p>
            <w:r>
              <w:rPr>
                <w:rFonts w:ascii="Calibri" w:cs="Calibri" w:eastAsia="Calibri" w:hAnsi="Calibri"/>
                <w:b/>
                <w:bCs/>
                <w:color w:val="FFFFFF"/>
                <w:sz w:val="20"/>
                <w:szCs w:val="20"/>
              </w:rPr>
              <w:t xml:space="preserve">Value Stream (zero coverage)</w:t>
            </w:r>
          </w:p>
        </w:tc>
        <w:tc>
          <w:tcPr>
            <w:tcW w:type="dxa" w:w="2560"/>
            <w:tcBorders>
              <w:top w:val="single" w:color="CCCCCC" w:sz="1"/>
              <w:left w:val="single" w:color="CCCCCC" w:sz="1"/>
              <w:bottom w:val="single" w:color="CCCCCC" w:sz="1"/>
              <w:right w:val="single" w:color="CCCCCC" w:sz="1"/>
            </w:tcBorders>
            <w:shd w:fill="1C2B3A" w:val="clear"/>
            <w:tcMar>
              <w:top w:type="dxa" w:w="80"/>
              <w:left w:type="dxa" w:w="110"/>
              <w:bottom w:type="dxa" w:w="80"/>
              <w:right w:type="dxa" w:w="110"/>
            </w:tcMar>
          </w:tcPr>
          <w:p>
            <w:r>
              <w:rPr>
                <w:rFonts w:ascii="Calibri" w:cs="Calibri" w:eastAsia="Calibri" w:hAnsi="Calibri"/>
                <w:b/>
                <w:bCs/>
                <w:color w:val="FFFFFF"/>
                <w:sz w:val="20"/>
                <w:szCs w:val="20"/>
              </w:rPr>
              <w:t xml:space="preserve">Risk</w:t>
            </w:r>
          </w:p>
        </w:tc>
      </w:tr>
      <w:tr>
        <w:tc>
          <w:tcPr>
            <w:tcW w:type="dxa" w:w="6800"/>
            <w:tcBorders>
              <w:top w:val="single" w:color="CCCCCC" w:sz="1"/>
              <w:left w:val="single" w:color="CCCCCC" w:sz="1"/>
              <w:bottom w:val="single" w:color="CCCCCC" w:sz="1"/>
              <w:right w:val="single" w:color="CCCCCC" w:sz="1"/>
            </w:tcBorders>
            <w:shd w:fill="FDF2F2" w:val="clear"/>
            <w:tcMar>
              <w:top w:type="dxa" w:w="70"/>
              <w:left w:type="dxa" w:w="110"/>
              <w:bottom w:type="dxa" w:w="70"/>
              <w:right w:type="dxa" w:w="110"/>
            </w:tcMar>
          </w:tcPr>
          <w:p>
            <w:r>
              <w:rPr>
                <w:rFonts w:ascii="Calibri" w:cs="Calibri" w:eastAsia="Calibri" w:hAnsi="Calibri"/>
                <w:b w:val="false"/>
                <w:bCs w:val="false"/>
                <w:color w:val="B83232"/>
                <w:sz w:val="20"/>
                <w:szCs w:val="20"/>
              </w:rPr>
              <w:t xml:space="preserve">Acquire Asset</w:t>
            </w:r>
          </w:p>
        </w:tc>
        <w:tc>
          <w:tcPr>
            <w:tcW w:type="dxa" w:w="2560"/>
            <w:tcBorders>
              <w:top w:val="single" w:color="CCCCCC" w:sz="1"/>
              <w:left w:val="single" w:color="CCCCCC" w:sz="1"/>
              <w:bottom w:val="single" w:color="CCCCCC" w:sz="1"/>
              <w:right w:val="single" w:color="CCCCCC" w:sz="1"/>
            </w:tcBorders>
            <w:shd w:fill="FDF2F2"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Cold-start — catalog only</w:t>
            </w:r>
          </w:p>
        </w:tc>
      </w:tr>
      <w:tr>
        <w:tc>
          <w:tcPr>
            <w:tcW w:type="dxa" w:w="6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B83232"/>
                <w:sz w:val="20"/>
                <w:szCs w:val="20"/>
              </w:rPr>
              <w:t xml:space="preserve">Administer Quality Management Program</w:t>
            </w:r>
          </w:p>
        </w:tc>
        <w:tc>
          <w:tcPr>
            <w:tcW w:type="dxa" w:w="2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Cold-start — catalog only</w:t>
            </w:r>
          </w:p>
        </w:tc>
      </w:tr>
      <w:tr>
        <w:tc>
          <w:tcPr>
            <w:tcW w:type="dxa" w:w="6800"/>
            <w:tcBorders>
              <w:top w:val="single" w:color="CCCCCC" w:sz="1"/>
              <w:left w:val="single" w:color="CCCCCC" w:sz="1"/>
              <w:bottom w:val="single" w:color="CCCCCC" w:sz="1"/>
              <w:right w:val="single" w:color="CCCCCC" w:sz="1"/>
            </w:tcBorders>
            <w:shd w:fill="FDF2F2" w:val="clear"/>
            <w:tcMar>
              <w:top w:type="dxa" w:w="70"/>
              <w:left w:type="dxa" w:w="110"/>
              <w:bottom w:type="dxa" w:w="70"/>
              <w:right w:type="dxa" w:w="110"/>
            </w:tcMar>
          </w:tcPr>
          <w:p>
            <w:r>
              <w:rPr>
                <w:rFonts w:ascii="Calibri" w:cs="Calibri" w:eastAsia="Calibri" w:hAnsi="Calibri"/>
                <w:b w:val="false"/>
                <w:bCs w:val="false"/>
                <w:color w:val="B83232"/>
                <w:sz w:val="20"/>
                <w:szCs w:val="20"/>
              </w:rPr>
              <w:t xml:space="preserve">Conduct Audit</w:t>
            </w:r>
          </w:p>
        </w:tc>
        <w:tc>
          <w:tcPr>
            <w:tcW w:type="dxa" w:w="2560"/>
            <w:tcBorders>
              <w:top w:val="single" w:color="CCCCCC" w:sz="1"/>
              <w:left w:val="single" w:color="CCCCCC" w:sz="1"/>
              <w:bottom w:val="single" w:color="CCCCCC" w:sz="1"/>
              <w:right w:val="single" w:color="CCCCCC" w:sz="1"/>
            </w:tcBorders>
            <w:shd w:fill="FDF2F2"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Cold-start — catalog only</w:t>
            </w:r>
          </w:p>
        </w:tc>
      </w:tr>
      <w:tr>
        <w:tc>
          <w:tcPr>
            <w:tcW w:type="dxa" w:w="6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B83232"/>
                <w:sz w:val="20"/>
                <w:szCs w:val="20"/>
              </w:rPr>
              <w:t xml:space="preserve">Develop Human Resource Career</w:t>
            </w:r>
          </w:p>
        </w:tc>
        <w:tc>
          <w:tcPr>
            <w:tcW w:type="dxa" w:w="2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Cold-start — catalog only</w:t>
            </w:r>
          </w:p>
        </w:tc>
      </w:tr>
      <w:tr>
        <w:tc>
          <w:tcPr>
            <w:tcW w:type="dxa" w:w="6800"/>
            <w:tcBorders>
              <w:top w:val="single" w:color="CCCCCC" w:sz="1"/>
              <w:left w:val="single" w:color="CCCCCC" w:sz="1"/>
              <w:bottom w:val="single" w:color="CCCCCC" w:sz="1"/>
              <w:right w:val="single" w:color="CCCCCC" w:sz="1"/>
            </w:tcBorders>
            <w:shd w:fill="FDF2F2" w:val="clear"/>
            <w:tcMar>
              <w:top w:type="dxa" w:w="70"/>
              <w:left w:type="dxa" w:w="110"/>
              <w:bottom w:type="dxa" w:w="70"/>
              <w:right w:type="dxa" w:w="110"/>
            </w:tcMar>
          </w:tcPr>
          <w:p>
            <w:r>
              <w:rPr>
                <w:rFonts w:ascii="Calibri" w:cs="Calibri" w:eastAsia="Calibri" w:hAnsi="Calibri"/>
                <w:b w:val="false"/>
                <w:bCs w:val="false"/>
                <w:color w:val="B83232"/>
                <w:sz w:val="20"/>
                <w:szCs w:val="20"/>
              </w:rPr>
              <w:t xml:space="preserve">Develop Mission, Vision, and Strategy</w:t>
            </w:r>
          </w:p>
        </w:tc>
        <w:tc>
          <w:tcPr>
            <w:tcW w:type="dxa" w:w="2560"/>
            <w:tcBorders>
              <w:top w:val="single" w:color="CCCCCC" w:sz="1"/>
              <w:left w:val="single" w:color="CCCCCC" w:sz="1"/>
              <w:bottom w:val="single" w:color="CCCCCC" w:sz="1"/>
              <w:right w:val="single" w:color="CCCCCC" w:sz="1"/>
            </w:tcBorders>
            <w:shd w:fill="FDF2F2"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Cold-start — catalog only</w:t>
            </w:r>
          </w:p>
        </w:tc>
      </w:tr>
      <w:tr>
        <w:tc>
          <w:tcPr>
            <w:tcW w:type="dxa" w:w="6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B83232"/>
                <w:sz w:val="20"/>
                <w:szCs w:val="20"/>
              </w:rPr>
              <w:t xml:space="preserve">Enroll Group Medicare Coverage</w:t>
            </w:r>
          </w:p>
        </w:tc>
        <w:tc>
          <w:tcPr>
            <w:tcW w:type="dxa" w:w="2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Cold-start — catalog only</w:t>
            </w:r>
          </w:p>
        </w:tc>
      </w:tr>
      <w:tr>
        <w:tc>
          <w:tcPr>
            <w:tcW w:type="dxa" w:w="6800"/>
            <w:tcBorders>
              <w:top w:val="single" w:color="CCCCCC" w:sz="1"/>
              <w:left w:val="single" w:color="CCCCCC" w:sz="1"/>
              <w:bottom w:val="single" w:color="CCCCCC" w:sz="1"/>
              <w:right w:val="single" w:color="CCCCCC" w:sz="1"/>
            </w:tcBorders>
            <w:shd w:fill="FDF2F2" w:val="clear"/>
            <w:tcMar>
              <w:top w:type="dxa" w:w="70"/>
              <w:left w:type="dxa" w:w="110"/>
              <w:bottom w:type="dxa" w:w="70"/>
              <w:right w:type="dxa" w:w="110"/>
            </w:tcMar>
          </w:tcPr>
          <w:p>
            <w:r>
              <w:rPr>
                <w:rFonts w:ascii="Calibri" w:cs="Calibri" w:eastAsia="Calibri" w:hAnsi="Calibri"/>
                <w:b w:val="false"/>
                <w:bCs w:val="false"/>
                <w:color w:val="B83232"/>
                <w:sz w:val="20"/>
                <w:szCs w:val="20"/>
              </w:rPr>
              <w:t xml:space="preserve">Enroll Medicaid Member</w:t>
            </w:r>
          </w:p>
        </w:tc>
        <w:tc>
          <w:tcPr>
            <w:tcW w:type="dxa" w:w="2560"/>
            <w:tcBorders>
              <w:top w:val="single" w:color="CCCCCC" w:sz="1"/>
              <w:left w:val="single" w:color="CCCCCC" w:sz="1"/>
              <w:bottom w:val="single" w:color="CCCCCC" w:sz="1"/>
              <w:right w:val="single" w:color="CCCCCC" w:sz="1"/>
            </w:tcBorders>
            <w:shd w:fill="FDF2F2"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Cold-start — catalog only</w:t>
            </w:r>
          </w:p>
        </w:tc>
      </w:tr>
      <w:tr>
        <w:tc>
          <w:tcPr>
            <w:tcW w:type="dxa" w:w="6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B83232"/>
                <w:sz w:val="20"/>
                <w:szCs w:val="20"/>
              </w:rPr>
              <w:t xml:space="preserve">Manage Claim Inventory</w:t>
            </w:r>
          </w:p>
        </w:tc>
        <w:tc>
          <w:tcPr>
            <w:tcW w:type="dxa" w:w="2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Cold-start — catalog only</w:t>
            </w:r>
          </w:p>
        </w:tc>
      </w:tr>
      <w:tr>
        <w:tc>
          <w:tcPr>
            <w:tcW w:type="dxa" w:w="6800"/>
            <w:tcBorders>
              <w:top w:val="single" w:color="CCCCCC" w:sz="1"/>
              <w:left w:val="single" w:color="CCCCCC" w:sz="1"/>
              <w:bottom w:val="single" w:color="CCCCCC" w:sz="1"/>
              <w:right w:val="single" w:color="CCCCCC" w:sz="1"/>
            </w:tcBorders>
            <w:shd w:fill="FDF2F2" w:val="clear"/>
            <w:tcMar>
              <w:top w:type="dxa" w:w="70"/>
              <w:left w:type="dxa" w:w="110"/>
              <w:bottom w:type="dxa" w:w="70"/>
              <w:right w:type="dxa" w:w="110"/>
            </w:tcMar>
          </w:tcPr>
          <w:p>
            <w:r>
              <w:rPr>
                <w:rFonts w:ascii="Calibri" w:cs="Calibri" w:eastAsia="Calibri" w:hAnsi="Calibri"/>
                <w:b w:val="false"/>
                <w:bCs w:val="false"/>
                <w:color w:val="B83232"/>
                <w:sz w:val="20"/>
                <w:szCs w:val="20"/>
              </w:rPr>
              <w:t xml:space="preserve">Onboard Human Resource</w:t>
            </w:r>
          </w:p>
        </w:tc>
        <w:tc>
          <w:tcPr>
            <w:tcW w:type="dxa" w:w="2560"/>
            <w:tcBorders>
              <w:top w:val="single" w:color="CCCCCC" w:sz="1"/>
              <w:left w:val="single" w:color="CCCCCC" w:sz="1"/>
              <w:bottom w:val="single" w:color="CCCCCC" w:sz="1"/>
              <w:right w:val="single" w:color="CCCCCC" w:sz="1"/>
            </w:tcBorders>
            <w:shd w:fill="FDF2F2"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Cold-start — catalog only</w:t>
            </w:r>
          </w:p>
        </w:tc>
      </w:tr>
      <w:tr>
        <w:tc>
          <w:tcPr>
            <w:tcW w:type="dxa" w:w="6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B83232"/>
                <w:sz w:val="20"/>
                <w:szCs w:val="20"/>
              </w:rPr>
              <w:t xml:space="preserve">Promote Community Health</w:t>
            </w:r>
          </w:p>
        </w:tc>
        <w:tc>
          <w:tcPr>
            <w:tcW w:type="dxa" w:w="2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Cold-start — catalog only</w:t>
            </w:r>
          </w:p>
        </w:tc>
      </w:tr>
      <w:tr>
        <w:tc>
          <w:tcPr>
            <w:tcW w:type="dxa" w:w="6800"/>
            <w:tcBorders>
              <w:top w:val="single" w:color="CCCCCC" w:sz="1"/>
              <w:left w:val="single" w:color="CCCCCC" w:sz="1"/>
              <w:bottom w:val="single" w:color="CCCCCC" w:sz="1"/>
              <w:right w:val="single" w:color="CCCCCC" w:sz="1"/>
            </w:tcBorders>
            <w:shd w:fill="FDF2F2" w:val="clear"/>
            <w:tcMar>
              <w:top w:type="dxa" w:w="70"/>
              <w:left w:type="dxa" w:w="110"/>
              <w:bottom w:type="dxa" w:w="70"/>
              <w:right w:type="dxa" w:w="110"/>
            </w:tcMar>
          </w:tcPr>
          <w:p>
            <w:r>
              <w:rPr>
                <w:rFonts w:ascii="Calibri" w:cs="Calibri" w:eastAsia="Calibri" w:hAnsi="Calibri"/>
                <w:b w:val="false"/>
                <w:bCs w:val="false"/>
                <w:color w:val="B83232"/>
                <w:sz w:val="20"/>
                <w:szCs w:val="20"/>
              </w:rPr>
              <w:t xml:space="preserve">Realize Risk Adjustment</w:t>
            </w:r>
          </w:p>
        </w:tc>
        <w:tc>
          <w:tcPr>
            <w:tcW w:type="dxa" w:w="2560"/>
            <w:tcBorders>
              <w:top w:val="single" w:color="CCCCCC" w:sz="1"/>
              <w:left w:val="single" w:color="CCCCCC" w:sz="1"/>
              <w:bottom w:val="single" w:color="CCCCCC" w:sz="1"/>
              <w:right w:val="single" w:color="CCCCCC" w:sz="1"/>
            </w:tcBorders>
            <w:shd w:fill="FDF2F2"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Cold-start — catalog only</w:t>
            </w:r>
          </w:p>
        </w:tc>
      </w:tr>
      <w:tr>
        <w:tc>
          <w:tcPr>
            <w:tcW w:type="dxa" w:w="6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B83232"/>
                <w:sz w:val="20"/>
                <w:szCs w:val="20"/>
              </w:rPr>
              <w:t xml:space="preserve">Sell and Enroll Individual Coverage</w:t>
            </w:r>
          </w:p>
        </w:tc>
        <w:tc>
          <w:tcPr>
            <w:tcW w:type="dxa" w:w="2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Cold-start — catalog only</w:t>
            </w:r>
          </w:p>
        </w:tc>
      </w:tr>
      <w:tr>
        <w:tc>
          <w:tcPr>
            <w:tcW w:type="dxa" w:w="6800"/>
            <w:tcBorders>
              <w:top w:val="single" w:color="CCCCCC" w:sz="1"/>
              <w:left w:val="single" w:color="CCCCCC" w:sz="1"/>
              <w:bottom w:val="single" w:color="CCCCCC" w:sz="1"/>
              <w:right w:val="single" w:color="CCCCCC" w:sz="1"/>
            </w:tcBorders>
            <w:shd w:fill="FDF2F2" w:val="clear"/>
            <w:tcMar>
              <w:top w:type="dxa" w:w="70"/>
              <w:left w:type="dxa" w:w="110"/>
              <w:bottom w:type="dxa" w:w="70"/>
              <w:right w:type="dxa" w:w="110"/>
            </w:tcMar>
          </w:tcPr>
          <w:p>
            <w:r>
              <w:rPr>
                <w:rFonts w:ascii="Calibri" w:cs="Calibri" w:eastAsia="Calibri" w:hAnsi="Calibri"/>
                <w:b w:val="false"/>
                <w:bCs w:val="false"/>
                <w:color w:val="B83232"/>
                <w:sz w:val="20"/>
                <w:szCs w:val="20"/>
              </w:rPr>
              <w:t xml:space="preserve">Support External Audit</w:t>
            </w:r>
          </w:p>
        </w:tc>
        <w:tc>
          <w:tcPr>
            <w:tcW w:type="dxa" w:w="2560"/>
            <w:tcBorders>
              <w:top w:val="single" w:color="CCCCCC" w:sz="1"/>
              <w:left w:val="single" w:color="CCCCCC" w:sz="1"/>
              <w:bottom w:val="single" w:color="CCCCCC" w:sz="1"/>
              <w:right w:val="single" w:color="CCCCCC" w:sz="1"/>
            </w:tcBorders>
            <w:shd w:fill="FDF2F2" w:val="clear"/>
            <w:tcMar>
              <w:top w:type="dxa" w:w="70"/>
              <w:left w:type="dxa" w:w="110"/>
              <w:bottom w:type="dxa" w:w="70"/>
              <w:right w:type="dxa" w:w="110"/>
            </w:tcMar>
          </w:tcPr>
          <w:p>
            <w:r>
              <w:rPr>
                <w:rFonts w:ascii="Calibri" w:cs="Calibri" w:eastAsia="Calibri" w:hAnsi="Calibri"/>
                <w:b w:val="false"/>
                <w:bCs w:val="false"/>
                <w:color w:val="1C2B3A"/>
                <w:sz w:val="20"/>
                <w:szCs w:val="20"/>
              </w:rPr>
              <w:t xml:space="preserve">Cold-start — catalog only</w:t>
            </w:r>
          </w:p>
        </w:tc>
      </w:tr>
    </w:tbl>
    <w:p>
      <w:pPr>
        <w:spacing w:after="120"/>
      </w:pPr>
      <w:r>
        <w:rPr>
          <w:rFonts w:ascii="Calibri" w:cs="Calibri" w:eastAsia="Calibri" w:hAnsi="Calibri"/>
          <w:b w:val="false"/>
          <w:bCs w:val="false"/>
          <w:color w:val="1C2B3A"/>
          <w:sz w:val="22"/>
          <w:szCs w:val="22"/>
        </w:rPr>
        <w:t xml:space="preserve">37 of the 50 VSes have at least one appearance in the labeled pool. The 13 with zero coverage tend to be either highly specialized (Conduct Audit, Support External Audit, Administer Quality Management Program) or population-specific (Enroll Group Medicare Coverage, Enroll Medicaid Member, Sell and Enroll Individual Coverage) — suggesting these ticket types either don't enter the IDMT process or use different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single" w:color="1A5EA8" w:sz="12"/>
              <w:bottom w:val="none" w:color="FFFFFF" w:sz="0"/>
              <w:right w:val="none" w:color="FFFFFF" w:sz="0"/>
            </w:tcBorders>
            <w:shd w:fill="EBF3FA" w:val="clear"/>
            <w:tcMar>
              <w:top w:type="dxa" w:w="100"/>
              <w:left w:type="dxa" w:w="180"/>
              <w:bottom w:type="dxa" w:w="100"/>
              <w:right w:type="dxa" w:w="140"/>
            </w:tcMar>
          </w:tcPr>
          <w:p>
            <w:pPr>
              <w:spacing w:after="0"/>
            </w:pPr>
            <w:r>
              <w:rPr>
                <w:rFonts w:ascii="Calibri" w:cs="Calibri" w:eastAsia="Calibri" w:hAnsi="Calibri"/>
                <w:b w:val="false"/>
                <w:bCs w:val="false"/>
                <w:i/>
                <w:iCs/>
                <w:color w:val="1C2B3A"/>
                <w:sz w:val="20"/>
                <w:szCs w:val="20"/>
              </w:rPr>
              <w:t xml:space="preserve">For the 13 zero-coverage VSes, catalog description quality is the only lever. If those descriptions are sparse, the model has essentially no reliable signal for those VSes. Worth reviewing whether any of the 8,254 unlabeled tickets are likely candidates for these VSes.</w:t>
            </w:r>
          </w:p>
        </w:tc>
      </w:tr>
    </w:tbl>
    <w:p>
      <w:pPr>
        <w:pStyle w:val="Heading1"/>
        <w:pBdr>
          <w:bottom w:val="single" w:color="CCCCCC" w:sz="4" w:space="4"/>
        </w:pBdr>
        <w:spacing w:after="120" w:before="360"/>
      </w:pPr>
      <w:r>
        <w:rPr>
          <w:rFonts w:ascii="Calibri" w:cs="Calibri" w:eastAsia="Calibri" w:hAnsi="Calibri"/>
          <w:b/>
          <w:bCs/>
          <w:color w:val="1C2B3A"/>
          <w:sz w:val="30"/>
          <w:szCs w:val="30"/>
        </w:rPr>
        <w:t xml:space="preserve">6. Direct vs. Implied Label Patterns</w:t>
      </w:r>
    </w:p>
    <w:p>
      <w:pPr>
        <w:spacing w:after="120"/>
      </w:pPr>
      <w:r>
        <w:rPr>
          <w:rFonts w:ascii="Calibri" w:cs="Calibri" w:eastAsia="Calibri" w:hAnsi="Calibri"/>
          <w:b w:val="false"/>
          <w:bCs w:val="false"/>
          <w:color w:val="1C2B3A"/>
          <w:sz w:val="22"/>
          <w:szCs w:val="22"/>
        </w:rPr>
        <w:t xml:space="preserve">During ingestion, every VS label was classified by the LLM as direct (explicit textual signal in the ticket) or implied (LLM infers the connection but it's not stated). This classification is stored with each record and surfaces to the prediction LLM at inference time.</w:t>
      </w:r>
    </w:p>
    <w:p>
      <w:pPr>
        <w:spacing w:after="120"/>
      </w:pPr>
      <w:r>
        <w:rPr>
          <w:rFonts w:ascii="Calibri" w:cs="Calibri" w:eastAsia="Calibri" w:hAnsi="Calibri"/>
          <w:b w:val="false"/>
          <w:bCs w:val="false"/>
          <w:color w:val="1C2B3A"/>
          <w:sz w:val="22"/>
          <w:szCs w:val="22"/>
        </w:rPr>
        <w:t xml:space="preserve">We don't have the full count breakdown from ingestion logs, but the false-negative analysis from evaluation tells us something important: the model's primary miss pattern is implied VSes, not direct ones. In the stage prediction FN breakdown, EXPLICIT_EVIDENCE_MISSED was 0 — meaning the model never missed a VS that had an obvious signal. All the misses were on implied or underspecified cases.</w:t>
      </w:r>
    </w:p>
    <w:p>
      <w:pPr>
        <w:spacing w:after="120"/>
      </w:pPr>
      <w:r>
        <w:rPr>
          <w:rFonts w:ascii="Calibri" w:cs="Calibri" w:eastAsia="Calibri" w:hAnsi="Calibri"/>
          <w:b w:val="false"/>
          <w:bCs w:val="false"/>
          <w:color w:val="1C2B3A"/>
          <w:sz w:val="22"/>
          <w:szCs w:val="22"/>
        </w:rPr>
        <w:t xml:space="preserve">This has a structural implication: implied VSes are the hardest class to predict and also the ones that are potentially under-labeled in the GT (since single-label tickets tend to have the direct VS labeled and the implied ones omitted). The model's recall gap is most exposed on this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single" w:color="1A5EA8" w:sz="12"/>
              <w:bottom w:val="none" w:color="FFFFFF" w:sz="0"/>
              <w:right w:val="none" w:color="FFFFFF" w:sz="0"/>
            </w:tcBorders>
            <w:shd w:fill="EBF3FA" w:val="clear"/>
            <w:tcMar>
              <w:top w:type="dxa" w:w="100"/>
              <w:left w:type="dxa" w:w="180"/>
              <w:bottom w:type="dxa" w:w="100"/>
              <w:right w:type="dxa" w:w="140"/>
            </w:tcMar>
          </w:tcPr>
          <w:p>
            <w:pPr>
              <w:spacing w:after="0"/>
            </w:pPr>
            <w:r>
              <w:rPr>
                <w:rFonts w:ascii="Calibri" w:cs="Calibri" w:eastAsia="Calibri" w:hAnsi="Calibri"/>
                <w:b w:val="false"/>
                <w:bCs w:val="false"/>
                <w:i/>
                <w:iCs/>
                <w:color w:val="1C2B3A"/>
                <w:sz w:val="20"/>
                <w:szCs w:val="20"/>
              </w:rPr>
              <w:t xml:space="preserve">The most frequently missed stages in stage prediction — Account Configuration, Member Enrollment, Generate Quote and Present to Customer, Open Enrollment — are all implied business workflow stages. They appear after initial engagement stages that do have direct signals, and the connection is contextual rather than textual.</w:t>
            </w:r>
          </w:p>
        </w:tc>
      </w:tr>
    </w:tbl>
    <w:p>
      <w:pPr>
        <w:pStyle w:val="Heading1"/>
        <w:pBdr>
          <w:bottom w:val="single" w:color="CCCCCC" w:sz="4" w:space="4"/>
        </w:pBdr>
        <w:spacing w:after="120" w:before="360"/>
      </w:pPr>
      <w:r>
        <w:rPr>
          <w:rFonts w:ascii="Calibri" w:cs="Calibri" w:eastAsia="Calibri" w:hAnsi="Calibri"/>
          <w:b/>
          <w:bCs/>
          <w:color w:val="1C2B3A"/>
          <w:sz w:val="30"/>
          <w:szCs w:val="30"/>
        </w:rPr>
        <w:t xml:space="preserve">7. Key Findings and Implications</w:t>
      </w:r>
    </w:p>
    <w:p>
      <w:pPr>
        <w:pStyle w:val="Heading2"/>
        <w:spacing w:after="80" w:before="240"/>
      </w:pPr>
      <w:r>
        <w:rPr>
          <w:rFonts w:ascii="Calibri" w:cs="Calibri" w:eastAsia="Calibri" w:hAnsi="Calibri"/>
          <w:b/>
          <w:bCs/>
          <w:color w:val="1A5EA8"/>
          <w:sz w:val="24"/>
          <w:szCs w:val="24"/>
        </w:rPr>
        <w:t xml:space="preserve">What the data confirms</w:t>
      </w:r>
    </w:p>
    <w:p>
      <w:pPr>
        <w:pStyle w:val="ListParagraph"/>
        <w:numPr>
          <w:ilvl w:val="0"/>
          <w:numId w:val="2"/>
        </w:numPr>
        <w:spacing w:after="80"/>
      </w:pPr>
      <w:r>
        <w:rPr>
          <w:rFonts w:ascii="Calibri" w:cs="Calibri" w:eastAsia="Calibri" w:hAnsi="Calibri"/>
          <w:b w:val="false"/>
          <w:bCs w:val="false"/>
          <w:color w:val="1C2B3A"/>
          <w:sz w:val="22"/>
          <w:szCs w:val="22"/>
        </w:rPr>
        <w:t xml:space="preserve">8,476 total tickets but only 132 (1.5%) are usable labeled examples — data scarcity is the binding constraint</w:t>
      </w:r>
    </w:p>
    <w:p>
      <w:pPr>
        <w:pStyle w:val="ListParagraph"/>
        <w:numPr>
          <w:ilvl w:val="0"/>
          <w:numId w:val="2"/>
        </w:numPr>
        <w:spacing w:after="80"/>
      </w:pPr>
      <w:r>
        <w:rPr>
          <w:rFonts w:ascii="Calibri" w:cs="Calibri" w:eastAsia="Calibri" w:hAnsi="Calibri"/>
          <w:b w:val="false"/>
          <w:bCs w:val="false"/>
          <w:color w:val="1C2B3A"/>
          <w:sz w:val="22"/>
          <w:szCs w:val="22"/>
        </w:rPr>
        <w:t xml:space="preserve">40.5% of VS-labeled tickets had no valid VSes from the approved catalog — significant Jira labeling inconsistency</w:t>
      </w:r>
    </w:p>
    <w:p>
      <w:pPr>
        <w:pStyle w:val="ListParagraph"/>
        <w:numPr>
          <w:ilvl w:val="0"/>
          <w:numId w:val="2"/>
        </w:numPr>
        <w:spacing w:after="80"/>
      </w:pPr>
      <w:r>
        <w:rPr>
          <w:rFonts w:ascii="Calibri" w:cs="Calibri" w:eastAsia="Calibri" w:hAnsi="Calibri"/>
          <w:b w:val="false"/>
          <w:bCs w:val="false"/>
          <w:color w:val="1C2B3A"/>
          <w:sz w:val="22"/>
          <w:szCs w:val="22"/>
        </w:rPr>
        <w:t xml:space="preserve">Only 62.1% of the usable pool had idea cards — the remaining 37.9% use description-only context</w:t>
      </w:r>
    </w:p>
    <w:p>
      <w:pPr>
        <w:pStyle w:val="ListParagraph"/>
        <w:numPr>
          <w:ilvl w:val="0"/>
          <w:numId w:val="2"/>
        </w:numPr>
        <w:spacing w:after="80"/>
      </w:pPr>
      <w:r>
        <w:rPr>
          <w:rFonts w:ascii="Calibri" w:cs="Calibri" w:eastAsia="Calibri" w:hAnsi="Calibri"/>
          <w:b w:val="false"/>
          <w:bCs w:val="false"/>
          <w:color w:val="1C2B3A"/>
          <w:sz w:val="22"/>
          <w:szCs w:val="22"/>
        </w:rPr>
        <w:t xml:space="preserve">13 of 50 approved VSes have zero historical coverage — cold-start risk for those VSes</w:t>
      </w:r>
    </w:p>
    <w:p>
      <w:pPr>
        <w:pStyle w:val="ListParagraph"/>
        <w:numPr>
          <w:ilvl w:val="0"/>
          <w:numId w:val="2"/>
        </w:numPr>
        <w:spacing w:after="80"/>
      </w:pPr>
      <w:r>
        <w:rPr>
          <w:rFonts w:ascii="Calibri" w:cs="Calibri" w:eastAsia="Calibri" w:hAnsi="Calibri"/>
          <w:b w:val="false"/>
          <w:bCs w:val="false"/>
          <w:color w:val="1C2B3A"/>
          <w:sz w:val="22"/>
          <w:szCs w:val="22"/>
        </w:rPr>
        <w:t xml:space="preserve">Top 2 VSes (Order to Cash, Establish Product Offering) each appear in 59.1% of labeled tickets — distribution is heavily skewed</w:t>
      </w:r>
    </w:p>
    <w:p>
      <w:pPr>
        <w:pStyle w:val="ListParagraph"/>
        <w:numPr>
          <w:ilvl w:val="0"/>
          <w:numId w:val="2"/>
        </w:numPr>
        <w:spacing w:after="80"/>
      </w:pPr>
      <w:r>
        <w:rPr>
          <w:rFonts w:ascii="Calibri" w:cs="Calibri" w:eastAsia="Calibri" w:hAnsi="Calibri"/>
          <w:b w:val="false"/>
          <w:bCs w:val="false"/>
          <w:color w:val="1C2B3A"/>
          <w:sz w:val="22"/>
          <w:szCs w:val="22"/>
        </w:rPr>
        <w:t xml:space="preserve">~30% of labeled tickets have only 1 VS — measured precision is pessimistic, true performance is likely better</w:t>
      </w:r>
    </w:p>
    <w:p>
      <w:pPr>
        <w:pStyle w:val="Heading2"/>
        <w:spacing w:after="80" w:before="240"/>
      </w:pPr>
      <w:r>
        <w:rPr>
          <w:rFonts w:ascii="Calibri" w:cs="Calibri" w:eastAsia="Calibri" w:hAnsi="Calibri"/>
          <w:b/>
          <w:bCs/>
          <w:color w:val="1A5EA8"/>
          <w:sz w:val="24"/>
          <w:szCs w:val="24"/>
        </w:rPr>
        <w:t xml:space="preserve">Data quality issues worth addressing</w:t>
      </w:r>
    </w:p>
    <w:p>
      <w:pPr>
        <w:pStyle w:val="ListParagraph"/>
        <w:numPr>
          <w:ilvl w:val="0"/>
          <w:numId w:val="2"/>
        </w:numPr>
        <w:spacing w:after="80"/>
      </w:pPr>
      <w:r>
        <w:rPr>
          <w:rFonts w:ascii="Calibri" w:cs="Calibri" w:eastAsia="Calibri" w:hAnsi="Calibri"/>
          <w:b w:val="false"/>
          <w:bCs w:val="false"/>
          <w:color w:val="1C2B3A"/>
          <w:sz w:val="22"/>
          <w:szCs w:val="22"/>
        </w:rPr>
        <w:t xml:space="preserve">90 none-valid tickets: if Theme names can be manually mapped to approved VSes, the labeled pool could grow significantly</w:t>
      </w:r>
    </w:p>
    <w:p>
      <w:pPr>
        <w:pStyle w:val="ListParagraph"/>
        <w:numPr>
          <w:ilvl w:val="0"/>
          <w:numId w:val="2"/>
        </w:numPr>
        <w:spacing w:after="80"/>
      </w:pPr>
      <w:r>
        <w:rPr>
          <w:rFonts w:ascii="Calibri" w:cs="Calibri" w:eastAsia="Calibri" w:hAnsi="Calibri"/>
          <w:b w:val="false"/>
          <w:bCs w:val="false"/>
          <w:color w:val="1C2B3A"/>
          <w:sz w:val="22"/>
          <w:szCs w:val="22"/>
        </w:rPr>
        <w:t xml:space="preserve">Single-label GT: a human review pass on the ~40 single-label tickets would tell us whether model false positives are actually correct</w:t>
      </w:r>
    </w:p>
    <w:p>
      <w:pPr>
        <w:pStyle w:val="ListParagraph"/>
        <w:numPr>
          <w:ilvl w:val="0"/>
          <w:numId w:val="2"/>
        </w:numPr>
        <w:spacing w:after="80"/>
      </w:pPr>
      <w:r>
        <w:rPr>
          <w:rFonts w:ascii="Calibri" w:cs="Calibri" w:eastAsia="Calibri" w:hAnsi="Calibri"/>
          <w:b w:val="false"/>
          <w:bCs w:val="false"/>
          <w:color w:val="1C2B3A"/>
          <w:sz w:val="22"/>
          <w:szCs w:val="22"/>
        </w:rPr>
        <w:t xml:space="preserve">Zero-coverage VSes: 13 VSes have no historical examples — review whether catalog descriptions for those are sufficient for semantic search to work</w:t>
      </w:r>
    </w:p>
    <w:p>
      <w:pPr>
        <w:pStyle w:val="Heading2"/>
        <w:spacing w:after="80" w:before="240"/>
      </w:pPr>
      <w:r>
        <w:rPr>
          <w:rFonts w:ascii="Calibri" w:cs="Calibri" w:eastAsia="Calibri" w:hAnsi="Calibri"/>
          <w:b/>
          <w:bCs/>
          <w:color w:val="1A5EA8"/>
          <w:sz w:val="24"/>
          <w:szCs w:val="24"/>
        </w:rPr>
        <w:t xml:space="preserve">Structural modeling implications</w:t>
      </w:r>
    </w:p>
    <w:p>
      <w:pPr>
        <w:pStyle w:val="ListParagraph"/>
        <w:numPr>
          <w:ilvl w:val="0"/>
          <w:numId w:val="2"/>
        </w:numPr>
        <w:spacing w:after="80"/>
      </w:pPr>
      <w:r>
        <w:rPr>
          <w:rFonts w:ascii="Calibri" w:cs="Calibri" w:eastAsia="Calibri" w:hAnsi="Calibri"/>
          <w:b w:val="false"/>
          <w:bCs w:val="false"/>
          <w:color w:val="1C2B3A"/>
          <w:sz w:val="22"/>
          <w:szCs w:val="22"/>
        </w:rPr>
        <w:t xml:space="preserve">The implied VS recall gap is the core unsolved problem — catalog search covers direct signals, history partially covers implied, but ~20–25% of implied VSes still slip through</w:t>
      </w:r>
    </w:p>
    <w:p>
      <w:pPr>
        <w:pStyle w:val="ListParagraph"/>
        <w:numPr>
          <w:ilvl w:val="0"/>
          <w:numId w:val="2"/>
        </w:numPr>
        <w:spacing w:after="80"/>
      </w:pPr>
      <w:r>
        <w:rPr>
          <w:rFonts w:ascii="Calibri" w:cs="Calibri" w:eastAsia="Calibri" w:hAnsi="Calibri"/>
          <w:b w:val="false"/>
          <w:bCs w:val="false"/>
          <w:color w:val="1C2B3A"/>
          <w:sz w:val="22"/>
          <w:szCs w:val="22"/>
        </w:rPr>
        <w:t xml:space="preserve">The 13 cold-start VSes will underperform in any history-based retrieval setup — need a separate strategy (catalog description enrichment or synonym injection) for those</w:t>
      </w:r>
    </w:p>
    <w:p>
      <w:pPr>
        <w:pStyle w:val="ListParagraph"/>
        <w:numPr>
          <w:ilvl w:val="0"/>
          <w:numId w:val="2"/>
        </w:numPr>
        <w:spacing w:after="80"/>
      </w:pPr>
      <w:r>
        <w:rPr>
          <w:rFonts w:ascii="Calibri" w:cs="Calibri" w:eastAsia="Calibri" w:hAnsi="Calibri"/>
          <w:b w:val="false"/>
          <w:bCs w:val="false"/>
          <w:color w:val="1C2B3A"/>
          <w:sz w:val="22"/>
          <w:szCs w:val="22"/>
        </w:rPr>
        <w:t xml:space="preserve">Stage prediction will face the same implied-miss pattern as VS prediction — the ingestion data for stages needs the same direct/implied classification and quality review before stage results are reliable</w:t>
      </w:r>
    </w:p>
    <w:p>
      <w:pPr>
        <w:pBdr>
          <w:top w:val="single" w:color="CCCCCC" w:sz="3" w:space="4"/>
        </w:pBdr>
        <w:spacing w:after="0" w:before="240"/>
        <w:jc w:val="center"/>
      </w:pPr>
      <w:r>
        <w:rPr>
          <w:rFonts w:ascii="Calibri" w:cs="Calibri" w:eastAsia="Calibri" w:hAnsi="Calibri"/>
          <w:b w:val="false"/>
          <w:bCs w:val="false"/>
          <w:i/>
          <w:iCs/>
          <w:color w:val="777777"/>
          <w:sz w:val="18"/>
          <w:szCs w:val="18"/>
        </w:rPr>
        <w:t xml:space="preserve">May 2026  |  Draft</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3" w:space="1"/>
      </w:pBdr>
      <w:tabs>
        <w:tab w:val="right" w:pos="9026"/>
      </w:tabs>
      <w:spacing w:before="0"/>
    </w:pPr>
    <w:r>
      <w:rPr>
        <w:rFonts w:ascii="Calibri" w:cs="Calibri" w:eastAsia="Calibri" w:hAnsi="Calibri"/>
        <w:b w:val="false"/>
        <w:bCs w:val="false"/>
        <w:color w:val="777777"/>
        <w:sz w:val="18"/>
        <w:szCs w:val="18"/>
      </w:rPr>
      <w:t xml:space="preserve">Page </w:t>
    </w:r>
    <w:r>
      <w:rPr>
        <w:rFonts w:ascii="Calibri" w:cs="Calibri" w:eastAsia="Calibri" w:hAnsi="Calibri"/>
        <w:b w:val="false"/>
        <w:bCs w:val="false"/>
        <w:color w:val="777777"/>
        <w:sz w:val="18"/>
        <w:szCs w:val="18"/>
      </w:rPr>
      <w:t xml:space="preserve">	Page </w:t>
    </w:r>
    <w:r>
      <w:rPr>
        <w:rFonts w:ascii="Calibri" w:cs="Calibri" w:eastAsia="Calibri" w:hAnsi="Calibri"/>
        <w:b w:val="false"/>
        <w:bCs w:val="false"/>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3" w:space="1"/>
      </w:pBdr>
      <w:tabs>
        <w:tab w:val="right" w:pos="9026"/>
      </w:tabs>
      <w:spacing w:after="0"/>
    </w:pPr>
    <w:r>
      <w:rPr>
        <w:rFonts w:ascii="Calibri" w:cs="Calibri" w:eastAsia="Calibri" w:hAnsi="Calibri"/>
        <w:b w:val="false"/>
        <w:bCs w:val="false"/>
        <w:color w:val="777777"/>
        <w:sz w:val="18"/>
        <w:szCs w:val="18"/>
      </w:rPr>
      <w:t xml:space="preserve">Jira Theme &amp; Epic Generator – EDA</w:t>
    </w:r>
    <w:r>
      <w:rPr>
        <w:rFonts w:ascii="Calibri" w:cs="Calibri" w:eastAsia="Calibri" w:hAnsi="Calibri"/>
        <w:b w:val="false"/>
        <w:bCs w:val="false"/>
        <w:color w:val="777777"/>
        <w:sz w:val="18"/>
        <w:szCs w:val="18"/>
      </w:rPr>
      <w:t xml:space="preserve">	Draft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b w:val="false"/>
        <w:bCs w:val="false"/>
        <w:color w:val="1C2B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C2B3A"/>
      <w:sz w:val="30"/>
      <w:szCs w:val="30"/>
    </w:rPr>
  </w:style>
  <w:style w:type="paragraph" w:styleId="Heading2">
    <w:name w:val="Heading 2"/>
    <w:basedOn w:val="Normal"/>
    <w:next w:val="Normal"/>
    <w:qFormat/>
    <w:pPr>
      <w:spacing w:after="80" w:before="240"/>
      <w:outlineLvl w:val="1"/>
    </w:pPr>
    <w:rPr>
      <w:rFonts w:ascii="Calibri" w:cs="Calibri" w:eastAsia="Calibri" w:hAnsi="Calibri"/>
      <w:b/>
      <w:bCs/>
      <w:color w:val="1A5EA8"/>
      <w:sz w:val="24"/>
      <w:szCs w:val="24"/>
    </w:rPr>
  </w:style>
  <w:style w:type="paragraph" w:styleId="Heading3">
    <w:name w:val="Heading 3"/>
    <w:basedOn w:val="Normal"/>
    <w:next w:val="Normal"/>
    <w:qFormat/>
    <w:pPr>
      <w:spacing w:after="60" w:before="160"/>
      <w:outlineLvl w:val="2"/>
    </w:pPr>
    <w:rPr>
      <w:rFonts w:ascii="Calibri" w:cs="Calibri" w:eastAsia="Calibri" w:hAnsi="Calibri"/>
      <w:b/>
      <w:bCs/>
      <w:color w:val="1C2B3A"/>
      <w:sz w:val="22"/>
      <w:szCs w:val="22"/>
    </w:rPr>
  </w:style>
  <w:style w:type="paragraph" w:styleId="Normal">
    <w:name w:val="Normal"/>
    <w:qFormat/>
    <w:pPr>
      <w:spacing w:after="120"/>
    </w:pPr>
    <w:rPr>
      <w:rFonts w:ascii="Calibri" w:cs="Calibri" w:eastAsia="Calibri" w:hAnsi="Calibri"/>
      <w:b w:val="false"/>
      <w:bCs w:val="false"/>
      <w:color w:val="1C2B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2026-06-01T21:52:04.362Z</dcterms:created>
  <dcterms:modified xsi:type="dcterms:W3CDTF">2026-06-01T21:52:04.362Z</dcterms:modified>
</cp:coreProperties>
</file>

<file path=docProps/custom.xml><?xml version="1.0" encoding="utf-8"?>
<Properties xmlns="http://schemas.openxmlformats.org/officeDocument/2006/custom-properties" xmlns:vt="http://schemas.openxmlformats.org/officeDocument/2006/docPropsVTypes"/>
</file>