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C2B3A"/>
          <w:sz w:val="44"/>
          <w:szCs w:val="44"/>
        </w:rPr>
        <w:t xml:space="preserve">Jira Theme &amp; Epic Generator Automation</w:t>
      </w:r>
    </w:p>
    <w:p>
      <w:pPr>
        <w:spacing w:after="200"/>
      </w:pPr>
      <w:r>
        <w:rPr>
          <w:rFonts w:ascii="Calibri" w:cs="Calibri" w:eastAsia="Calibri" w:hAnsi="Calibri"/>
          <w:b w:val="false"/>
          <w:bCs w:val="false"/>
          <w:i/>
          <w:iCs/>
          <w:color w:val="777777"/>
          <w:sz w:val="24"/>
          <w:szCs w:val="24"/>
        </w:rPr>
        <w:t xml:space="preserve">Technical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Technical Design Document</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Jira Theme &amp; Epic Generator Automation</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1.0</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Approved – Approach 2 selected</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May 2026</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1. Problem Statement</w:t>
      </w:r>
    </w:p>
    <w:p>
      <w:pPr>
        <w:spacing w:after="120"/>
      </w:pPr>
      <w:r>
        <w:rPr>
          <w:rFonts w:ascii="Calibri" w:cs="Calibri" w:eastAsia="Calibri" w:hAnsi="Calibri"/>
          <w:b w:val="false"/>
          <w:bCs w:val="false"/>
          <w:color w:val="1C2B3A"/>
          <w:sz w:val="22"/>
          <w:szCs w:val="22"/>
        </w:rPr>
        <w:t xml:space="preserve">The Business Architecture team manually creates Jira Themes and Epics from IDMT intake tickets. A BA reads the ticket, the attached Idea Card, and supporting documents, then selects from a fixed catalog of 50 approved Value Streams. Each selected VS becomes a Jira Theme (GROUP issue type). For each Theme, the BA selects relevant stages — each stage becomes an Epic.</w:t>
      </w:r>
    </w:p>
    <w:p>
      <w:pPr>
        <w:spacing w:after="120"/>
      </w:pPr>
      <w:r>
        <w:rPr>
          <w:rFonts w:ascii="Calibri" w:cs="Calibri" w:eastAsia="Calibri" w:hAnsi="Calibri"/>
          <w:b w:val="false"/>
          <w:bCs w:val="false"/>
          <w:color w:val="1C2B3A"/>
          <w:sz w:val="22"/>
          <w:szCs w:val="22"/>
        </w:rPr>
        <w:t xml:space="preserve">This process is time-consuming and inconsistent. The goal of this system is to predict VS and stage selections automatically from the IDMT packet and surface them as draft Jira objects for BA review.</w:t>
      </w:r>
    </w:p>
    <w:p>
      <w:pPr>
        <w:pStyle w:val="Heading3"/>
        <w:spacing w:after="60" w:before="160"/>
      </w:pPr>
      <w:r>
        <w:rPr>
          <w:rFonts w:ascii="Calibri" w:cs="Calibri" w:eastAsia="Calibri" w:hAnsi="Calibri"/>
          <w:b/>
          <w:bCs/>
          <w:color w:val="1C2B3A"/>
          <w:sz w:val="22"/>
          <w:szCs w:val="22"/>
        </w:rPr>
        <w:t xml:space="preserve">Constraints</w:t>
      </w:r>
    </w:p>
    <w:p>
      <w:pPr>
        <w:pStyle w:val="ListParagraph"/>
        <w:numPr>
          <w:ilvl w:val="0"/>
          <w:numId w:val="2"/>
        </w:numPr>
        <w:spacing w:after="80"/>
      </w:pPr>
      <w:r>
        <w:rPr>
          <w:rFonts w:ascii="Calibri" w:cs="Calibri" w:eastAsia="Calibri" w:hAnsi="Calibri"/>
          <w:b w:val="false"/>
          <w:bCs w:val="false"/>
          <w:color w:val="1C2B3A"/>
          <w:sz w:val="22"/>
          <w:szCs w:val="22"/>
        </w:rPr>
        <w:t xml:space="preserve">Predictions must be from the approved 50 VS catalog only — no open-ended generation</w:t>
      </w:r>
    </w:p>
    <w:p>
      <w:pPr>
        <w:pStyle w:val="ListParagraph"/>
        <w:numPr>
          <w:ilvl w:val="0"/>
          <w:numId w:val="2"/>
        </w:numPr>
        <w:spacing w:after="80"/>
      </w:pPr>
      <w:r>
        <w:rPr>
          <w:rFonts w:ascii="Calibri" w:cs="Calibri" w:eastAsia="Calibri" w:hAnsi="Calibri"/>
          <w:b w:val="false"/>
          <w:bCs w:val="false"/>
          <w:color w:val="1C2B3A"/>
          <w:sz w:val="22"/>
          <w:szCs w:val="22"/>
        </w:rPr>
        <w:t xml:space="preserve">Stage and VS predictions must be independently reviewable and traceable to ticket context</w:t>
      </w:r>
    </w:p>
    <w:p>
      <w:pPr>
        <w:pStyle w:val="ListParagraph"/>
        <w:numPr>
          <w:ilvl w:val="0"/>
          <w:numId w:val="2"/>
        </w:numPr>
        <w:spacing w:after="80"/>
      </w:pPr>
      <w:r>
        <w:rPr>
          <w:rFonts w:ascii="Calibri" w:cs="Calibri" w:eastAsia="Calibri" w:hAnsi="Calibri"/>
          <w:b w:val="false"/>
          <w:bCs w:val="false"/>
          <w:color w:val="1C2B3A"/>
          <w:sz w:val="22"/>
          <w:szCs w:val="22"/>
        </w:rPr>
        <w:t xml:space="preserve">Predicted VSes and stages must map exactly to catalog entries — no approximate or free-text output</w:t>
      </w:r>
    </w:p>
    <w:p>
      <w:pPr>
        <w:pStyle w:val="Heading1"/>
        <w:pBdr>
          <w:bottom w:val="single" w:color="CCCCCC" w:sz="4" w:space="4"/>
        </w:pBdr>
        <w:spacing w:after="120" w:before="360"/>
      </w:pPr>
      <w:r>
        <w:rPr>
          <w:rFonts w:ascii="Calibri" w:cs="Calibri" w:eastAsia="Calibri" w:hAnsi="Calibri"/>
          <w:b/>
          <w:bCs/>
          <w:color w:val="1C2B3A"/>
          <w:sz w:val="30"/>
          <w:szCs w:val="30"/>
        </w:rPr>
        <w:t xml:space="preserve">2. Approaches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
            </w:r>
          </w:p>
        </w:tc>
        <w:tc>
          <w:tcPr>
            <w:tcW w:type="dxa" w:w="348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Approach 1 — Catalog Only</w:t>
            </w:r>
          </w:p>
        </w:tc>
        <w:tc>
          <w:tcPr>
            <w:tcW w:type="dxa" w:w="348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Approach 2 — Catalog + History (Approved)</w:t>
            </w:r>
          </w:p>
        </w:tc>
      </w:tr>
      <w:tr>
        <w:trPr>
          <w:cantSplit/>
        </w:trPr>
        <w:tc>
          <w:tcPr>
            <w:tcW w:type="dxa" w:w="2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VS retrieval</w:t>
            </w:r>
          </w:p>
        </w:tc>
        <w:tc>
          <w:tcPr>
            <w:tcW w:type="dxa" w:w="348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Semantic search against VS catalog only</w:t>
            </w:r>
          </w:p>
        </w:tc>
        <w:tc>
          <w:tcPr>
            <w:tcW w:type="dxa" w:w="348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Semantic search against catalog + top 6 historical IDMT tickets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Implied VS coverage</w:t>
            </w:r>
          </w:p>
        </w:tc>
        <w:tc>
          <w:tcPr>
            <w:tcW w:type="dxa" w:w="348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None — no mechanism for implied VSes</w:t>
            </w:r>
          </w:p>
        </w:tc>
        <w:tc>
          <w:tcPr>
            <w:tcW w:type="dxa" w:w="348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Significantly improved via historical BA patterns</w:t>
            </w:r>
          </w:p>
        </w:tc>
      </w:tr>
      <w:tr>
        <w:trPr>
          <w:cantSplit/>
        </w:trPr>
        <w:tc>
          <w:tcPr>
            <w:tcW w:type="dxa" w:w="2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Precision (82-ticket eval)</w:t>
            </w:r>
          </w:p>
        </w:tc>
        <w:tc>
          <w:tcPr>
            <w:tcW w:type="dxa" w:w="348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~35%</w:t>
            </w:r>
          </w:p>
        </w:tc>
        <w:tc>
          <w:tcPr>
            <w:tcW w:type="dxa" w:w="348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65%+</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Recall (82-ticket eval)</w:t>
            </w:r>
          </w:p>
        </w:tc>
        <w:tc>
          <w:tcPr>
            <w:tcW w:type="dxa" w:w="348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~66% ceiling</w:t>
            </w:r>
          </w:p>
        </w:tc>
        <w:tc>
          <w:tcPr>
            <w:tcW w:type="dxa" w:w="348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75–80%</w:t>
            </w:r>
          </w:p>
        </w:tc>
      </w:tr>
      <w:tr>
        <w:trPr>
          <w:cantSplit/>
        </w:trPr>
        <w:tc>
          <w:tcPr>
            <w:tcW w:type="dxa" w:w="2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LLM context</w:t>
            </w:r>
          </w:p>
        </w:tc>
        <w:tc>
          <w:tcPr>
            <w:tcW w:type="dxa" w:w="348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Catalog description only</w:t>
            </w:r>
          </w:p>
        </w:tc>
        <w:tc>
          <w:tcPr>
            <w:tcW w:type="dxa" w:w="348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Catalog + historical BA decisions with direct/implied reasoning</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Decision</w:t>
            </w:r>
          </w:p>
        </w:tc>
        <w:tc>
          <w:tcPr>
            <w:tcW w:type="dxa" w:w="348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bCs/>
                <w:color w:val="B83232"/>
                <w:sz w:val="20"/>
                <w:szCs w:val="20"/>
              </w:rPr>
              <w:t xml:space="preserve">Not approved — implied VS recall insufficient</w:t>
            </w:r>
          </w:p>
        </w:tc>
        <w:tc>
          <w:tcPr>
            <w:tcW w:type="dxa" w:w="348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Approved</w:t>
            </w:r>
          </w:p>
        </w:tc>
      </w:tr>
    </w:tbl>
    <w:p>
      <w:pPr>
        <w:pStyle w:val="Heading2"/>
        <w:spacing w:after="80" w:before="240"/>
      </w:pPr>
      <w:r>
        <w:rPr>
          <w:rFonts w:ascii="Calibri" w:cs="Calibri" w:eastAsia="Calibri" w:hAnsi="Calibri"/>
          <w:b/>
          <w:bCs/>
          <w:color w:val="1A5EA8"/>
          <w:sz w:val="24"/>
          <w:szCs w:val="24"/>
        </w:rPr>
        <w:t xml:space="preserve">2.1 Approach 1 — Catalog Semantic Search (Not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B83232" w:sz="12"/>
              <w:bottom w:val="none" w:color="FFFFFF" w:sz="0"/>
              <w:right w:val="none" w:color="FFFFFF" w:sz="0"/>
            </w:tcBorders>
            <w:shd w:fill="FDF2F2" w:val="clear"/>
            <w:tcMar>
              <w:top w:type="dxa" w:w="100"/>
              <w:left w:type="dxa" w:w="180"/>
              <w:bottom w:type="dxa" w:w="100"/>
              <w:right w:type="dxa" w:w="140"/>
            </w:tcMar>
          </w:tcPr>
          <w:p>
            <w:pPr>
              <w:spacing w:after="0"/>
            </w:pPr>
            <w:r>
              <w:rPr>
                <w:rFonts w:ascii="Calibri" w:cs="Calibri" w:eastAsia="Calibri" w:hAnsi="Calibri"/>
                <w:b/>
                <w:bCs/>
                <w:color w:val="B83232"/>
                <w:sz w:val="20"/>
                <w:szCs w:val="20"/>
              </w:rPr>
              <w:t xml:space="preserve">Approach 1 was evaluated and not approved. Precision ceiling of ~35% on the 82-ticket eval set was insufficient.</w:t>
            </w:r>
          </w:p>
        </w:tc>
      </w:tr>
    </w:tbl>
    <w:p>
      <w:pPr>
        <w:spacing w:after="120"/>
      </w:pPr>
      <w:r>
        <w:rPr>
          <w:rFonts w:ascii="Calibri" w:cs="Calibri" w:eastAsia="Calibri" w:hAnsi="Calibri"/>
          <w:b w:val="false"/>
          <w:bCs w:val="false"/>
          <w:color w:val="1C2B3A"/>
          <w:sz w:val="22"/>
          <w:szCs w:val="22"/>
        </w:rPr>
        <w:t xml:space="preserve">Approach 1 summarized the Idea Card text and ran it against the VS catalog index via semantic search. It reliably caught VSes with direct textual signals but had no mechanism for implied VSes — those that BAs select based on downstream business impact or domain knowledge not explicitly stated in the ticket. No amount of prompt tuning changed this because the limitation is structural: semantic similarity can only match what the text says, not what it implies.</w:t>
      </w:r>
    </w:p>
    <w:p>
      <w:pPr>
        <w:pStyle w:val="Heading3"/>
        <w:spacing w:after="60" w:before="160"/>
      </w:pPr>
      <w:r>
        <w:rPr>
          <w:rFonts w:ascii="Calibri" w:cs="Calibri" w:eastAsia="Calibri" w:hAnsi="Calibri"/>
          <w:b/>
          <w:bCs/>
          <w:color w:val="1C2B3A"/>
          <w:sz w:val="22"/>
          <w:szCs w:val="22"/>
        </w:rPr>
        <w:t xml:space="preserve">Evaluation result</w:t>
      </w:r>
    </w:p>
    <w:p>
      <w:pPr>
        <w:pStyle w:val="ListParagraph"/>
        <w:numPr>
          <w:ilvl w:val="0"/>
          <w:numId w:val="2"/>
        </w:numPr>
        <w:spacing w:after="80"/>
      </w:pPr>
      <w:r>
        <w:rPr>
          <w:rFonts w:ascii="Calibri" w:cs="Calibri" w:eastAsia="Calibri" w:hAnsi="Calibri"/>
          <w:b w:val="false"/>
          <w:bCs w:val="false"/>
          <w:color w:val="1C2B3A"/>
          <w:sz w:val="22"/>
          <w:szCs w:val="22"/>
        </w:rPr>
        <w:t xml:space="preserve">Precision: ~35%</w:t>
      </w:r>
    </w:p>
    <w:p>
      <w:pPr>
        <w:pStyle w:val="ListParagraph"/>
        <w:numPr>
          <w:ilvl w:val="0"/>
          <w:numId w:val="2"/>
        </w:numPr>
        <w:spacing w:after="80"/>
      </w:pPr>
      <w:r>
        <w:rPr>
          <w:rFonts w:ascii="Calibri" w:cs="Calibri" w:eastAsia="Calibri" w:hAnsi="Calibri"/>
          <w:b w:val="false"/>
          <w:bCs w:val="false"/>
          <w:color w:val="1C2B3A"/>
          <w:sz w:val="22"/>
          <w:szCs w:val="22"/>
        </w:rPr>
        <w:t xml:space="preserve">Recall: ~66% ceiling — additional tuning did not move this</w:t>
      </w:r>
    </w:p>
    <w:p>
      <w:pPr>
        <w:pStyle w:val="ListParagraph"/>
        <w:numPr>
          <w:ilvl w:val="0"/>
          <w:numId w:val="2"/>
        </w:numPr>
        <w:spacing w:after="80"/>
      </w:pPr>
      <w:r>
        <w:rPr>
          <w:rFonts w:ascii="Calibri" w:cs="Calibri" w:eastAsia="Calibri" w:hAnsi="Calibri"/>
          <w:b w:val="false"/>
          <w:bCs w:val="false"/>
          <w:color w:val="1C2B3A"/>
          <w:sz w:val="22"/>
          <w:szCs w:val="22"/>
        </w:rPr>
        <w:t xml:space="preserve">Primary failure: implied VSes consistently missed</w:t>
      </w:r>
    </w:p>
    <w:p>
      <w:pPr>
        <w:pStyle w:val="Heading2"/>
        <w:spacing w:after="80" w:before="240"/>
      </w:pPr>
      <w:r>
        <w:rPr>
          <w:rFonts w:ascii="Calibri" w:cs="Calibri" w:eastAsia="Calibri" w:hAnsi="Calibri"/>
          <w:b/>
          <w:bCs/>
          <w:color w:val="1A5EA8"/>
          <w:sz w:val="24"/>
          <w:szCs w:val="24"/>
        </w:rPr>
        <w:t xml:space="preserve">2.2 Approach 2 — Catalog + Historical Retrieval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7A3A" w:sz="12"/>
              <w:bottom w:val="none" w:color="FFFFFF" w:sz="0"/>
              <w:right w:val="none" w:color="FFFFFF" w:sz="0"/>
            </w:tcBorders>
            <w:shd w:fill="F0FAF3" w:val="clear"/>
            <w:tcMar>
              <w:top w:type="dxa" w:w="100"/>
              <w:left w:type="dxa" w:w="180"/>
              <w:bottom w:type="dxa" w:w="100"/>
              <w:right w:type="dxa" w:w="140"/>
            </w:tcMar>
          </w:tcPr>
          <w:p>
            <w:pPr>
              <w:spacing w:after="0"/>
            </w:pPr>
            <w:r>
              <w:rPr>
                <w:rFonts w:ascii="Calibri" w:cs="Calibri" w:eastAsia="Calibri" w:hAnsi="Calibri"/>
                <w:b/>
                <w:bCs/>
                <w:color w:val="1A7A3A"/>
                <w:sz w:val="20"/>
                <w:szCs w:val="20"/>
              </w:rPr>
              <w:t xml:space="preserve">Approach 2 is the approved design. Precision 65%+, recall 75–80% on the 82-ticket eval set.</w:t>
            </w:r>
          </w:p>
        </w:tc>
      </w:tr>
    </w:tbl>
    <w:p>
      <w:pPr>
        <w:spacing w:after="120"/>
      </w:pPr>
      <w:r>
        <w:rPr>
          <w:rFonts w:ascii="Calibri" w:cs="Calibri" w:eastAsia="Calibri" w:hAnsi="Calibri"/>
          <w:b w:val="false"/>
          <w:bCs w:val="false"/>
          <w:color w:val="1C2B3A"/>
          <w:sz w:val="22"/>
          <w:szCs w:val="22"/>
        </w:rPr>
        <w:t xml:space="preserve">Approach 2 extends the catalog search with a second retrieval pass against an index of historical IDMT tickets. The LLM now sees both the formal VS catalog definitions and real examples of how BAs labeled similar tickets — including implied VSes and the reasoning behind them. That combination is what moved the implied VS recall.</w:t>
      </w:r>
    </w:p>
    <w:p>
      <w:pPr>
        <w:pStyle w:val="Heading1"/>
        <w:pBdr>
          <w:bottom w:val="single" w:color="CCCCCC" w:sz="4" w:space="4"/>
        </w:pBdr>
        <w:spacing w:after="120" w:before="360"/>
      </w:pPr>
      <w:r>
        <w:rPr>
          <w:rFonts w:ascii="Calibri" w:cs="Calibri" w:eastAsia="Calibri" w:hAnsi="Calibri"/>
          <w:b/>
          <w:bCs/>
          <w:color w:val="1C2B3A"/>
          <w:sz w:val="30"/>
          <w:szCs w:val="30"/>
        </w:rPr>
        <w:t xml:space="preserve">3. System Design</w:t>
      </w:r>
    </w:p>
    <w:p>
      <w:pPr>
        <w:pStyle w:val="Heading2"/>
        <w:spacing w:after="80" w:before="240"/>
      </w:pPr>
      <w:r>
        <w:rPr>
          <w:rFonts w:ascii="Calibri" w:cs="Calibri" w:eastAsia="Calibri" w:hAnsi="Calibri"/>
          <w:b/>
          <w:bCs/>
          <w:color w:val="1A5EA8"/>
          <w:sz w:val="24"/>
          <w:szCs w:val="24"/>
        </w:rPr>
        <w:t xml:space="preserve">3.1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Index</w:t>
            </w:r>
          </w:p>
        </w:tc>
        <w:tc>
          <w:tcPr>
            <w:tcW w:type="dxa" w:w="30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Content</w:t>
            </w:r>
          </w:p>
        </w:tc>
        <w:tc>
          <w:tcPr>
            <w:tcW w:type="dxa" w:w="37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Role</w:t>
            </w:r>
          </w:p>
        </w:tc>
      </w:tr>
      <w:tr>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idp_kg_data_test</w:t>
            </w:r>
          </w:p>
        </w:tc>
        <w:tc>
          <w:tcPr>
            <w:tcW w:type="dxa" w:w="30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50 VS names + descriptions, vectorized at 1536d</w:t>
            </w:r>
          </w:p>
        </w:tc>
        <w:tc>
          <w:tcPr>
            <w:tcW w:type="dxa" w:w="37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Catalog retrieval — top 30 semantic matches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idp_idmt_data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132 historical IDMT summaries + VS labels + direct/implied tags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Historical retrieval — top 6 similar tickets</w:t>
            </w:r>
          </w:p>
        </w:tc>
      </w:tr>
    </w:tbl>
    <w:p>
      <w:pPr>
        <w:spacing w:after="120"/>
      </w:pPr>
      <w:r>
        <w:rPr>
          <w:rFonts w:ascii="Calibri" w:cs="Calibri" w:eastAsia="Calibri" w:hAnsi="Calibri"/>
          <w:b w:val="false"/>
          <w:bCs w:val="false"/>
          <w:color w:val="1C2B3A"/>
          <w:sz w:val="22"/>
          <w:szCs w:val="22"/>
        </w:rPr>
        <w:t xml:space="preserve">Both indexes use text-embedding-3-small at 1536 dimensions. Using the same embedding model on both is deliberate — similarity scores need to be comparable across retrieval calls from both indexes to make the merge step meaningful.</w:t>
      </w:r>
    </w:p>
    <w:p>
      <w:pPr>
        <w:pStyle w:val="Heading2"/>
        <w:spacing w:after="80" w:before="240"/>
      </w:pPr>
      <w:r>
        <w:rPr>
          <w:rFonts w:ascii="Calibri" w:cs="Calibri" w:eastAsia="Calibri" w:hAnsi="Calibri"/>
          <w:b/>
          <w:bCs/>
          <w:color w:val="1A5EA8"/>
          <w:sz w:val="24"/>
          <w:szCs w:val="24"/>
        </w:rPr>
        <w:t xml:space="preserve">3.2 Value Stream Prediction Flow</w:t>
      </w:r>
    </w:p>
    <w:p>
      <w:pPr>
        <w:spacing w:after="120"/>
      </w:pPr>
      <w:r>
        <w:rPr>
          <w:rFonts w:ascii="Calibri" w:cs="Calibri" w:eastAsia="Calibri" w:hAnsi="Calibri"/>
          <w:b w:val="false"/>
          <w:bCs w:val="false"/>
          <w:color w:val="1C2B3A"/>
          <w:sz w:val="22"/>
          <w:szCs w:val="22"/>
        </w:rPr>
        <w:t xml:space="preserve">The prediction pipeline runs sequentially with a parallel retrieval step in the middle. The two retrieval branches run against different indexes and are merged before the LLM sees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1C2B3A" w:val="clear"/>
            <w:tcMar>
              <w:top w:type="dxa" w:w="120"/>
              <w:left w:type="dxa" w:w="160"/>
              <w:bottom w:type="dxa" w:w="120"/>
              <w:right w:type="dxa" w:w="160"/>
            </w:tcMar>
          </w:tcPr>
          <w:p>
            <w:pPr>
              <w:spacing w:after="40"/>
              <w:jc w:val="center"/>
            </w:pPr>
            <w:r>
              <w:rPr>
                <w:rFonts w:ascii="Calibri" w:cs="Calibri" w:eastAsia="Calibri" w:hAnsi="Calibri"/>
                <w:b/>
                <w:bCs/>
                <w:color w:val="FFFFFF"/>
                <w:sz w:val="22"/>
                <w:szCs w:val="22"/>
              </w:rPr>
              <w:t xml:space="preserve">IDMT Packet Input</w:t>
            </w:r>
          </w:p>
          <w:p>
            <w:pPr>
              <w:spacing w:after="0"/>
              <w:jc w:val="center"/>
            </w:pPr>
            <w:r>
              <w:rPr>
                <w:rFonts w:ascii="Calibri" w:cs="Calibri" w:eastAsia="Calibri" w:hAnsi="Calibri"/>
                <w:b w:val="false"/>
                <w:bCs w:val="false"/>
                <w:i/>
                <w:iCs/>
                <w:color w:val="C8D8E8"/>
                <w:sz w:val="19"/>
                <w:szCs w:val="19"/>
              </w:rPr>
              <w:t xml:space="preserve">Ticket description + attachments (PPTX / PDF / DOCX)</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Extract &amp; Summarize</w:t>
            </w:r>
          </w:p>
          <w:p>
            <w:pPr>
              <w:spacing w:after="0"/>
              <w:jc w:val="center"/>
            </w:pPr>
            <w:r>
              <w:rPr>
                <w:rFonts w:ascii="Calibri" w:cs="Calibri" w:eastAsia="Calibri" w:hAnsi="Calibri"/>
                <w:b w:val="false"/>
                <w:bCs w:val="false"/>
                <w:i/>
                <w:iCs/>
                <w:color w:val="777777"/>
                <w:sz w:val="19"/>
                <w:szCs w:val="19"/>
              </w:rPr>
              <w:t xml:space="preserve">MarkItDown extracts text in priority order: PPTX → PDF → DOCX. LLM compresses to a summary for retrieval.</w:t>
            </w:r>
          </w:p>
        </w:tc>
      </w:tr>
    </w:tbl>
    <w:p>
      <w:pPr>
        <w:spacing w:after="60" w:before="60"/>
        <w:jc w:val="center"/>
      </w:pPr>
      <w:r>
        <w:rPr>
          <w:rFonts w:ascii="Calibri" w:cs="Calibri" w:eastAsia="Calibri" w:hAnsi="Calibri"/>
          <w:b w:val="false"/>
          <w:bCs w:val="false"/>
          <w:color w:val="777777"/>
          <w:sz w:val="18"/>
          <w:szCs w:val="18"/>
        </w:rPr>
        <w:t xml:space="preserve">splits into two parallel searches  </w:t>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400"/>
        <w:gridCol w:w="560"/>
        <w:gridCol w:w="4400"/>
      </w:tblGrid>
      <w:tr>
        <w:tc>
          <w:tcPr>
            <w:tcW w:type="dxa" w:w="4400"/>
            <w:tcBorders>
              <w:top w:val="single" w:color="1A5EA8" w:sz="6"/>
              <w:left w:val="single" w:color="1A5EA8" w:sz="6"/>
              <w:bottom w:val="single" w:color="1A5EA8" w:sz="6"/>
              <w:right w:val="single" w:color="1A5EA8" w:sz="6"/>
            </w:tcBorders>
            <w:shd w:fill="D6E8F7" w:val="clear"/>
            <w:tcMar>
              <w:top w:type="dxa" w:w="120"/>
              <w:left w:type="dxa" w:w="140"/>
              <w:bottom w:type="dxa" w:w="120"/>
              <w:right w:type="dxa" w:w="140"/>
            </w:tcMar>
          </w:tcPr>
          <w:p>
            <w:pPr>
              <w:spacing w:after="40"/>
              <w:jc w:val="center"/>
            </w:pPr>
            <w:r>
              <w:rPr>
                <w:rFonts w:ascii="Calibri" w:cs="Calibri" w:eastAsia="Calibri" w:hAnsi="Calibri"/>
                <w:b/>
                <w:bCs/>
                <w:color w:val="1C2B3A"/>
                <w:sz w:val="21"/>
                <w:szCs w:val="21"/>
              </w:rPr>
              <w:t xml:space="preserve">Catalog Semantic Search</w:t>
            </w:r>
          </w:p>
          <w:p>
            <w:pPr>
              <w:spacing w:after="0"/>
              <w:jc w:val="center"/>
            </w:pPr>
            <w:r>
              <w:rPr>
                <w:rFonts w:ascii="Calibri" w:cs="Calibri" w:eastAsia="Calibri" w:hAnsi="Calibri"/>
                <w:b w:val="false"/>
                <w:bCs w:val="false"/>
                <w:i/>
                <w:iCs/>
                <w:color w:val="777777"/>
                <w:sz w:val="18"/>
                <w:szCs w:val="18"/>
              </w:rPr>
              <w:t xml:space="preserve">idp_kg_data_test — top 30 VS candidates</w:t>
            </w:r>
          </w:p>
        </w:tc>
        <w:tc>
          <w:tcPr>
            <w:tcW w:type="dxa" w:w="560"/>
            <w:tcBorders>
              <w:top w:val="none" w:color="FFFFFF" w:sz="0"/>
              <w:left w:val="none" w:color="FFFFFF" w:sz="0"/>
              <w:bottom w:val="none" w:color="FFFFFF" w:sz="0"/>
              <w:right w:val="none" w:color="FFFFFF" w:sz="0"/>
            </w:tcBorders>
          </w:tcPr>
          <w:p>
            <w:pPr>
              <w:jc w:val="center"/>
            </w:pPr>
            <w:r>
              <w:rPr>
                <w:sz w:val="20"/>
                <w:szCs w:val="20"/>
              </w:rPr>
              <w:t xml:space="preserve"/>
            </w:r>
          </w:p>
        </w:tc>
        <w:tc>
          <w:tcPr>
            <w:tcW w:type="dxa" w:w="4400"/>
            <w:tcBorders>
              <w:top w:val="single" w:color="1A5EA8" w:sz="6"/>
              <w:left w:val="single" w:color="1A5EA8" w:sz="6"/>
              <w:bottom w:val="single" w:color="1A5EA8" w:sz="6"/>
              <w:right w:val="single" w:color="1A5EA8" w:sz="6"/>
            </w:tcBorders>
            <w:shd w:fill="E8F5E8" w:val="clear"/>
            <w:tcMar>
              <w:top w:type="dxa" w:w="120"/>
              <w:left w:type="dxa" w:w="140"/>
              <w:bottom w:type="dxa" w:w="120"/>
              <w:right w:type="dxa" w:w="140"/>
            </w:tcMar>
          </w:tcPr>
          <w:p>
            <w:pPr>
              <w:spacing w:after="40"/>
              <w:jc w:val="center"/>
            </w:pPr>
            <w:r>
              <w:rPr>
                <w:rFonts w:ascii="Calibri" w:cs="Calibri" w:eastAsia="Calibri" w:hAnsi="Calibri"/>
                <w:b/>
                <w:bCs/>
                <w:color w:val="1C2B3A"/>
                <w:sz w:val="21"/>
                <w:szCs w:val="21"/>
              </w:rPr>
              <w:t xml:space="preserve">Historical IDMT Search</w:t>
            </w:r>
          </w:p>
          <w:p>
            <w:pPr>
              <w:spacing w:after="0"/>
              <w:jc w:val="center"/>
            </w:pPr>
            <w:r>
              <w:rPr>
                <w:rFonts w:ascii="Calibri" w:cs="Calibri" w:eastAsia="Calibri" w:hAnsi="Calibri"/>
                <w:b w:val="false"/>
                <w:bCs w:val="false"/>
                <w:i/>
                <w:iCs/>
                <w:color w:val="777777"/>
                <w:sz w:val="18"/>
                <w:szCs w:val="18"/>
              </w:rPr>
              <w:t xml:space="preserve">idp_idmt_data — top 6 similar past tickets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400"/>
        <w:gridCol w:w="560"/>
        <w:gridCol w:w="4400"/>
      </w:tblGrid>
      <w:tr>
        <w:tc>
          <w:tcPr>
            <w:tcW w:type="dxa" w:w="4400"/>
            <w:tcBorders>
              <w:top w:val="none" w:color="FFFFFF" w:sz="0"/>
              <w:left w:val="none" w:color="FFFFFF" w:sz="0"/>
              <w:bottom w:val="none" w:color="FFFFFF" w:sz="0"/>
              <w:right w:val="none" w:color="FFFFFF" w:sz="0"/>
            </w:tcBorders>
          </w:tcPr>
          <w:p>
            <w:pPr>
              <w:spacing w:after="60" w:before="60"/>
              <w:jc w:val="center"/>
            </w:pPr>
            <w:r>
              <w:rPr>
                <w:rFonts w:ascii="Calibri" w:cs="Calibri" w:eastAsia="Calibri" w:hAnsi="Calibri"/>
                <w:b/>
                <w:bCs/>
                <w:color w:val="1A5EA8"/>
                <w:sz w:val="28"/>
                <w:szCs w:val="28"/>
              </w:rPr>
              <w:t xml:space="preserve">↓</w:t>
            </w:r>
          </w:p>
        </w:tc>
        <w:tc>
          <w:tcPr>
            <w:tcW w:type="dxa" w:w="560"/>
            <w:tcBorders>
              <w:top w:val="none" w:color="FFFFFF" w:sz="0"/>
              <w:left w:val="none" w:color="FFFFFF" w:sz="0"/>
              <w:bottom w:val="none" w:color="FFFFFF" w:sz="0"/>
              <w:right w:val="none" w:color="FFFFFF" w:sz="0"/>
            </w:tcBorders>
          </w:tcPr>
          <w:p>
            <w:r>
              <w:t xml:space="preserve"/>
            </w:r>
          </w:p>
        </w:tc>
        <w:tc>
          <w:tcPr>
            <w:tcW w:type="dxa" w:w="4400"/>
            <w:tcBorders>
              <w:top w:val="none" w:color="FFFFFF" w:sz="0"/>
              <w:left w:val="none" w:color="FFFFFF" w:sz="0"/>
              <w:bottom w:val="none" w:color="FFFFFF" w:sz="0"/>
              <w:right w:val="none" w:color="FFFFFF" w:sz="0"/>
            </w:tcBorders>
          </w:tcPr>
          <w:p>
            <w:pPr>
              <w:spacing w:after="60" w:before="60"/>
              <w:jc w:val="center"/>
            </w:pPr>
            <w:r>
              <w:rPr>
                <w:rFonts w:ascii="Calibri" w:cs="Calibri" w:eastAsia="Calibri" w:hAnsi="Calibri"/>
                <w:b/>
                <w:bCs/>
                <w:color w:val="1A5EA8"/>
                <w:sz w:val="28"/>
                <w:szCs w:val="28"/>
              </w:rPr>
              <w:t xml:space="preserve">↓</w:t>
            </w:r>
          </w:p>
        </w:tc>
      </w:tr>
    </w:tbl>
    <w:p>
      <w:pPr>
        <w:spacing w:after="60" w:before="60"/>
        <w:jc w:val="center"/>
      </w:pPr>
      <w:r>
        <w:rPr>
          <w:rFonts w:ascii="Calibri" w:cs="Calibri" w:eastAsia="Calibri" w:hAnsi="Calibri"/>
          <w:b/>
          <w:bCs/>
          <w:color w:val="1A5EA8"/>
          <w:sz w:val="24"/>
          <w:szCs w:val="24"/>
        </w:rPr>
        <w:t xml:space="preserve">↘  merge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Merge Candidates</w:t>
            </w:r>
          </w:p>
          <w:p>
            <w:pPr>
              <w:spacing w:after="0"/>
              <w:jc w:val="center"/>
            </w:pPr>
            <w:r>
              <w:rPr>
                <w:rFonts w:ascii="Calibri" w:cs="Calibri" w:eastAsia="Calibri" w:hAnsi="Calibri"/>
                <w:b w:val="false"/>
                <w:bCs w:val="false"/>
                <w:i/>
                <w:iCs/>
                <w:color w:val="777777"/>
                <w:sz w:val="19"/>
                <w:szCs w:val="19"/>
              </w:rPr>
              <w:t xml:space="preserve">Combine evidence from both sources. Where a VS appears in both, evidence is joined. VSes only in history (implied) are preserved. Direct/implied tags and reasoning carry forward.</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LLM Value Stream Selection</w:t>
            </w:r>
          </w:p>
          <w:p>
            <w:pPr>
              <w:spacing w:after="0"/>
              <w:jc w:val="center"/>
            </w:pPr>
            <w:r>
              <w:rPr>
                <w:rFonts w:ascii="Calibri" w:cs="Calibri" w:eastAsia="Calibri" w:hAnsi="Calibri"/>
                <w:b w:val="false"/>
                <w:bCs w:val="false"/>
                <w:i/>
                <w:iCs/>
                <w:color w:val="777777"/>
                <w:sz w:val="19"/>
                <w:szCs w:val="19"/>
              </w:rPr>
              <w:t xml:space="preserve">LLM receives: catalog definitions + historical BA precedent with direct/implied reasoning. Selects final VS set from merged candidates.</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1C2B3A" w:val="clear"/>
            <w:tcMar>
              <w:top w:type="dxa" w:w="120"/>
              <w:left w:type="dxa" w:w="160"/>
              <w:bottom w:type="dxa" w:w="120"/>
              <w:right w:type="dxa" w:w="160"/>
            </w:tcMar>
          </w:tcPr>
          <w:p>
            <w:pPr>
              <w:spacing w:after="40"/>
              <w:jc w:val="center"/>
            </w:pPr>
            <w:r>
              <w:rPr>
                <w:rFonts w:ascii="Calibri" w:cs="Calibri" w:eastAsia="Calibri" w:hAnsi="Calibri"/>
                <w:b/>
                <w:bCs/>
                <w:color w:val="FFFFFF"/>
                <w:sz w:val="22"/>
                <w:szCs w:val="22"/>
              </w:rPr>
              <w:t xml:space="preserve">Predicted Value Streams</w:t>
            </w:r>
          </w:p>
          <w:p>
            <w:pPr>
              <w:spacing w:after="0"/>
              <w:jc w:val="center"/>
            </w:pPr>
            <w:r>
              <w:rPr>
                <w:rFonts w:ascii="Calibri" w:cs="Calibri" w:eastAsia="Calibri" w:hAnsi="Calibri"/>
                <w:b w:val="false"/>
                <w:bCs w:val="false"/>
                <w:i/>
                <w:iCs/>
                <w:color w:val="C8D8E8"/>
                <w:sz w:val="19"/>
                <w:szCs w:val="19"/>
              </w:rPr>
              <w:t xml:space="preserve">Candidate Jira Themes — one per selected VS</w:t>
            </w:r>
          </w:p>
        </w:tc>
      </w:tr>
    </w:tbl>
    <w:p>
      <w:pPr>
        <w:pStyle w:val="Heading2"/>
        <w:spacing w:after="80" w:before="240"/>
      </w:pPr>
      <w:r>
        <w:rPr>
          <w:rFonts w:ascii="Calibri" w:cs="Calibri" w:eastAsia="Calibri" w:hAnsi="Calibri"/>
          <w:b/>
          <w:bCs/>
          <w:color w:val="1A5EA8"/>
          <w:sz w:val="24"/>
          <w:szCs w:val="24"/>
        </w:rPr>
        <w:t xml:space="preserve">3.3 Ingestion Pipeline Flow</w:t>
      </w:r>
    </w:p>
    <w:p>
      <w:pPr>
        <w:spacing w:after="120"/>
      </w:pPr>
      <w:r>
        <w:rPr>
          <w:rFonts w:ascii="Calibri" w:cs="Calibri" w:eastAsia="Calibri" w:hAnsi="Calibri"/>
          <w:b w:val="false"/>
          <w:bCs w:val="false"/>
          <w:color w:val="1C2B3A"/>
          <w:sz w:val="22"/>
          <w:szCs w:val="22"/>
        </w:rPr>
        <w:t xml:space="preserve">The ingestion pipeline processes historical IDMT tickets into idp_idmt_data. It runs as a batch job, separate from the prediction pipeline. The output feeds the historical retrieval step at prediction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1C2B3A" w:val="clear"/>
            <w:tcMar>
              <w:top w:type="dxa" w:w="120"/>
              <w:left w:type="dxa" w:w="160"/>
              <w:bottom w:type="dxa" w:w="120"/>
              <w:right w:type="dxa" w:w="160"/>
            </w:tcMar>
          </w:tcPr>
          <w:p>
            <w:pPr>
              <w:spacing w:after="40"/>
              <w:jc w:val="center"/>
            </w:pPr>
            <w:r>
              <w:rPr>
                <w:rFonts w:ascii="Calibri" w:cs="Calibri" w:eastAsia="Calibri" w:hAnsi="Calibri"/>
                <w:b/>
                <w:bCs/>
                <w:color w:val="FFFFFF"/>
                <w:sz w:val="22"/>
                <w:szCs w:val="22"/>
              </w:rPr>
              <w:t xml:space="preserve">Source: Jira Tickets</w:t>
            </w:r>
          </w:p>
          <w:p>
            <w:pPr>
              <w:spacing w:after="0"/>
              <w:jc w:val="center"/>
            </w:pPr>
            <w:r>
              <w:rPr>
                <w:rFonts w:ascii="Calibri" w:cs="Calibri" w:eastAsia="Calibri" w:hAnsi="Calibri"/>
                <w:b w:val="false"/>
                <w:bCs w:val="false"/>
                <w:i/>
                <w:iCs/>
                <w:color w:val="C8D8E8"/>
                <w:sz w:val="19"/>
                <w:szCs w:val="19"/>
              </w:rPr>
              <w:t xml:space="preserve">Engagement Request type — post 2023-01-01 — 8,476 total</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Filter &amp; Validate VS Labels</w:t>
            </w:r>
          </w:p>
          <w:p>
            <w:pPr>
              <w:spacing w:after="0"/>
              <w:jc w:val="center"/>
            </w:pPr>
            <w:r>
              <w:rPr>
                <w:rFonts w:ascii="Calibri" w:cs="Calibri" w:eastAsia="Calibri" w:hAnsi="Calibri"/>
                <w:b w:val="false"/>
                <w:bCs w:val="false"/>
                <w:i/>
                <w:iCs/>
                <w:color w:val="777777"/>
                <w:sz w:val="19"/>
                <w:szCs w:val="19"/>
              </w:rPr>
              <w:t xml:space="preserve">Follow 'implements' issue links → identify GROUP (Theme) issues → fuzzy match against approved 50 → LLM confirmation for low-confidence matches. Tickets with no valid VS label are excluded.</w:t>
            </w:r>
          </w:p>
        </w:tc>
      </w:tr>
    </w:tbl>
    <w:p>
      <w:pPr>
        <w:spacing w:after="60" w:before="60"/>
        <w:jc w:val="center"/>
      </w:pPr>
      <w:r>
        <w:rPr>
          <w:rFonts w:ascii="Calibri" w:cs="Calibri" w:eastAsia="Calibri" w:hAnsi="Calibri"/>
          <w:b w:val="false"/>
          <w:bCs w:val="false"/>
          <w:color w:val="777777"/>
          <w:sz w:val="18"/>
          <w:szCs w:val="18"/>
        </w:rPr>
        <w:t xml:space="preserve">132 usable tickets remain  </w:t>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Extract Context</w:t>
            </w:r>
          </w:p>
          <w:p>
            <w:pPr>
              <w:spacing w:after="0"/>
              <w:jc w:val="center"/>
            </w:pPr>
            <w:r>
              <w:rPr>
                <w:rFonts w:ascii="Calibri" w:cs="Calibri" w:eastAsia="Calibri" w:hAnsi="Calibri"/>
                <w:b w:val="false"/>
                <w:bCs w:val="false"/>
                <w:i/>
                <w:iCs/>
                <w:color w:val="777777"/>
                <w:sz w:val="19"/>
                <w:szCs w:val="19"/>
              </w:rPr>
              <w:t xml:space="preserve">PPTX → PDF → DOCX priority via MarkItDown. If no attachment or dead SharePoint link: fall back to description only. ~82 of 132 had idea card attachments.</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Classify Direct / Implied</w:t>
            </w:r>
          </w:p>
          <w:p>
            <w:pPr>
              <w:spacing w:after="0"/>
              <w:jc w:val="center"/>
            </w:pPr>
            <w:r>
              <w:rPr>
                <w:rFonts w:ascii="Calibri" w:cs="Calibri" w:eastAsia="Calibri" w:hAnsi="Calibri"/>
                <w:b w:val="false"/>
                <w:bCs w:val="false"/>
                <w:i/>
                <w:iCs/>
                <w:color w:val="777777"/>
                <w:sz w:val="19"/>
                <w:szCs w:val="19"/>
              </w:rPr>
              <w:t xml:space="preserve">LLM classifies each VS label on the ticket. Direct = explicit signal found in context. Implied = no direct reference but LLM states the connection. Reason is required for implied labels — prevents hallucination.</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Embed &amp; Index</w:t>
            </w:r>
          </w:p>
          <w:p>
            <w:pPr>
              <w:spacing w:after="0"/>
              <w:jc w:val="center"/>
            </w:pPr>
            <w:r>
              <w:rPr>
                <w:rFonts w:ascii="Calibri" w:cs="Calibri" w:eastAsia="Calibri" w:hAnsi="Calibri"/>
                <w:b w:val="false"/>
                <w:bCs w:val="false"/>
                <w:i/>
                <w:iCs/>
                <w:color w:val="777777"/>
                <w:sz w:val="19"/>
                <w:szCs w:val="19"/>
              </w:rPr>
              <w:t xml:space="preserve">Generate summary embedding (text-embedding-3-small, 1536d). Store ticket summary, VS labels, direct/implied tags, and reasoning into idp_idmt_data.</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1C2B3A" w:val="clear"/>
            <w:tcMar>
              <w:top w:type="dxa" w:w="120"/>
              <w:left w:type="dxa" w:w="160"/>
              <w:bottom w:type="dxa" w:w="120"/>
              <w:right w:type="dxa" w:w="160"/>
            </w:tcMar>
          </w:tcPr>
          <w:p>
            <w:pPr>
              <w:spacing w:after="40"/>
              <w:jc w:val="center"/>
            </w:pPr>
            <w:r>
              <w:rPr>
                <w:rFonts w:ascii="Calibri" w:cs="Calibri" w:eastAsia="Calibri" w:hAnsi="Calibri"/>
                <w:b/>
                <w:bCs/>
                <w:color w:val="FFFFFF"/>
                <w:sz w:val="22"/>
                <w:szCs w:val="22"/>
              </w:rPr>
              <w:t xml:space="preserve">idp_idmt_data</w:t>
            </w:r>
          </w:p>
          <w:p>
            <w:pPr>
              <w:spacing w:after="0"/>
              <w:jc w:val="center"/>
            </w:pPr>
            <w:r>
              <w:rPr>
                <w:rFonts w:ascii="Calibri" w:cs="Calibri" w:eastAsia="Calibri" w:hAnsi="Calibri"/>
                <w:b w:val="false"/>
                <w:bCs w:val="false"/>
                <w:i/>
                <w:iCs/>
                <w:color w:val="C8D8E8"/>
                <w:sz w:val="19"/>
                <w:szCs w:val="19"/>
              </w:rPr>
              <w:t xml:space="preserve">132 indexed historical tickets — ready for retrieval at prediction time</w:t>
            </w:r>
          </w:p>
        </w:tc>
      </w:tr>
    </w:tbl>
    <w:p>
      <w:pPr>
        <w:pStyle w:val="Heading2"/>
        <w:spacing w:after="80" w:before="240"/>
      </w:pPr>
      <w:r>
        <w:rPr>
          <w:rFonts w:ascii="Calibri" w:cs="Calibri" w:eastAsia="Calibri" w:hAnsi="Calibri"/>
          <w:b/>
          <w:bCs/>
          <w:color w:val="1A5EA8"/>
          <w:sz w:val="24"/>
          <w:szCs w:val="24"/>
        </w:rPr>
        <w:t xml:space="preserve">3.4 Stage / Epic Prediction Flow (In Progress)</w:t>
      </w:r>
    </w:p>
    <w:p>
      <w:pPr>
        <w:spacing w:after="120"/>
      </w:pPr>
      <w:r>
        <w:rPr>
          <w:rFonts w:ascii="Calibri" w:cs="Calibri" w:eastAsia="Calibri" w:hAnsi="Calibri"/>
          <w:b w:val="false"/>
          <w:bCs w:val="false"/>
          <w:color w:val="1C2B3A"/>
          <w:sz w:val="22"/>
          <w:szCs w:val="22"/>
        </w:rPr>
        <w:t xml:space="preserve">Stage prediction runs after VS selection, one VS at a time. It is in active development — the ingestion data has the same quality issues as VS and may need a second cleanup pass before stage results are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1C2B3A" w:val="clear"/>
            <w:tcMar>
              <w:top w:type="dxa" w:w="120"/>
              <w:left w:type="dxa" w:w="160"/>
              <w:bottom w:type="dxa" w:w="120"/>
              <w:right w:type="dxa" w:w="160"/>
            </w:tcMar>
          </w:tcPr>
          <w:p>
            <w:pPr>
              <w:spacing w:after="40"/>
              <w:jc w:val="center"/>
            </w:pPr>
            <w:r>
              <w:rPr>
                <w:rFonts w:ascii="Calibri" w:cs="Calibri" w:eastAsia="Calibri" w:hAnsi="Calibri"/>
                <w:b/>
                <w:bCs/>
                <w:color w:val="FFFFFF"/>
                <w:sz w:val="22"/>
                <w:szCs w:val="22"/>
              </w:rPr>
              <w:t xml:space="preserve">Confirmed Value Streams (from prediction step)</w:t>
            </w:r>
          </w:p>
          <w:p>
            <w:pPr>
              <w:spacing w:after="0"/>
              <w:jc w:val="center"/>
            </w:pPr>
            <w:r>
              <w:rPr>
                <w:rFonts w:ascii="Calibri" w:cs="Calibri" w:eastAsia="Calibri" w:hAnsi="Calibri"/>
                <w:b w:val="false"/>
                <w:bCs w:val="false"/>
                <w:i/>
                <w:iCs/>
                <w:color w:val="C8D8E8"/>
                <w:sz w:val="19"/>
                <w:szCs w:val="19"/>
              </w:rPr>
              <w:t xml:space="preserve">One VS processed at a time</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D6E8F7" w:val="clear"/>
            <w:tcMar>
              <w:top w:type="dxa" w:w="120"/>
              <w:left w:type="dxa" w:w="160"/>
              <w:bottom w:type="dxa" w:w="120"/>
              <w:right w:type="dxa" w:w="160"/>
            </w:tcMar>
          </w:tcPr>
          <w:p>
            <w:pPr>
              <w:spacing w:after="40"/>
              <w:jc w:val="center"/>
            </w:pPr>
            <w:r>
              <w:rPr>
                <w:rFonts w:ascii="Calibri" w:cs="Calibri" w:eastAsia="Calibri" w:hAnsi="Calibri"/>
                <w:b/>
                <w:bCs/>
                <w:color w:val="1C2B3A"/>
                <w:sz w:val="22"/>
                <w:szCs w:val="22"/>
              </w:rPr>
              <w:t xml:space="preserve">Stage Selection — Evidence Grounded</w:t>
            </w:r>
          </w:p>
          <w:p>
            <w:pPr>
              <w:spacing w:after="0"/>
              <w:jc w:val="center"/>
            </w:pPr>
            <w:r>
              <w:rPr>
                <w:rFonts w:ascii="Calibri" w:cs="Calibri" w:eastAsia="Calibri" w:hAnsi="Calibri"/>
                <w:b w:val="false"/>
                <w:bCs w:val="false"/>
                <w:i/>
                <w:iCs/>
                <w:color w:val="777777"/>
                <w:sz w:val="19"/>
                <w:szCs w:val="19"/>
              </w:rPr>
              <w:t xml:space="preserve">LLM receives: original IDMT context + one VS definition + that VS's predefined stage list (usually &lt;10 stages). Must cite a specific evidence quote or inference for every stage it selects. No evidence = no selection.</w:t>
            </w:r>
          </w:p>
        </w:tc>
      </w:tr>
    </w:tbl>
    <w:p>
      <w:pPr>
        <w:spacing w:after="60" w:before="60"/>
        <w:jc w:val="center"/>
      </w:pPr>
      <w:r>
        <w:rPr>
          <w:rFonts w:ascii="Calibri" w:cs="Calibri" w:eastAsia="Calibri" w:hAnsi="Calibri"/>
          <w:b w:val="false"/>
          <w:bCs w:val="false"/>
          <w:color w:val="777777"/>
          <w:sz w:val="18"/>
          <w:szCs w:val="18"/>
        </w:rPr>
        <w:t xml:space="preserve"/>
      </w:r>
      <w:r>
        <w:rPr>
          <w:rFonts w:ascii="Calibri" w:cs="Calibri" w:eastAsia="Calibri" w:hAnsi="Calibri"/>
          <w:b/>
          <w:bCs/>
          <w:color w:val="1A5EA8"/>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single" w:color="1A5EA8" w:sz="6"/>
              <w:left w:val="single" w:color="1A5EA8" w:sz="6"/>
              <w:bottom w:val="single" w:color="1A5EA8" w:sz="6"/>
              <w:right w:val="single" w:color="1A5EA8" w:sz="6"/>
            </w:tcBorders>
            <w:shd w:fill="1C2B3A" w:val="clear"/>
            <w:tcMar>
              <w:top w:type="dxa" w:w="120"/>
              <w:left w:type="dxa" w:w="160"/>
              <w:bottom w:type="dxa" w:w="120"/>
              <w:right w:type="dxa" w:w="160"/>
            </w:tcMar>
          </w:tcPr>
          <w:p>
            <w:pPr>
              <w:spacing w:after="40"/>
              <w:jc w:val="center"/>
            </w:pPr>
            <w:r>
              <w:rPr>
                <w:rFonts w:ascii="Calibri" w:cs="Calibri" w:eastAsia="Calibri" w:hAnsi="Calibri"/>
                <w:b/>
                <w:bCs/>
                <w:color w:val="FFFFFF"/>
                <w:sz w:val="22"/>
                <w:szCs w:val="22"/>
              </w:rPr>
              <w:t xml:space="preserve">Predicted Stages</w:t>
            </w:r>
          </w:p>
          <w:p>
            <w:pPr>
              <w:spacing w:after="0"/>
              <w:jc w:val="center"/>
            </w:pPr>
            <w:r>
              <w:rPr>
                <w:rFonts w:ascii="Calibri" w:cs="Calibri" w:eastAsia="Calibri" w:hAnsi="Calibri"/>
                <w:b w:val="false"/>
                <w:bCs w:val="false"/>
                <w:i/>
                <w:iCs/>
                <w:color w:val="C8D8E8"/>
                <w:sz w:val="19"/>
                <w:szCs w:val="19"/>
              </w:rPr>
              <w:t xml:space="preserve">Candidate Jira Epics — one per selected stage, under the parent Theme</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4. Evaluation Results</w:t>
      </w:r>
    </w:p>
    <w:p>
      <w:pPr>
        <w:pStyle w:val="Heading2"/>
        <w:spacing w:after="80" w:before="240"/>
      </w:pPr>
      <w:r>
        <w:rPr>
          <w:rFonts w:ascii="Calibri" w:cs="Calibri" w:eastAsia="Calibri" w:hAnsi="Calibri"/>
          <w:b/>
          <w:bCs/>
          <w:color w:val="1A5EA8"/>
          <w:sz w:val="24"/>
          <w:szCs w:val="24"/>
        </w:rPr>
        <w:t xml:space="preserve">4.1 Setup</w:t>
      </w:r>
    </w:p>
    <w:p>
      <w:pPr>
        <w:spacing w:after="120"/>
      </w:pPr>
      <w:r>
        <w:rPr>
          <w:rFonts w:ascii="Calibri" w:cs="Calibri" w:eastAsia="Calibri" w:hAnsi="Calibri"/>
          <w:b w:val="false"/>
          <w:bCs w:val="false"/>
          <w:color w:val="1C2B3A"/>
          <w:sz w:val="22"/>
          <w:szCs w:val="22"/>
        </w:rPr>
        <w:t xml:space="preserve">Evaluation ran on 82 tickets with both a valid VS ground truth and a real Idea Card attached. GT is extracted from Jira Themes linked to each ticket, verified against the approved 50. Threshold is GT length + a small buffer rather than a fixed top-K, to handle varying GT sizes per ticket.</w:t>
      </w:r>
    </w:p>
    <w:p>
      <w:pPr>
        <w:pStyle w:val="Heading2"/>
        <w:spacing w:after="80" w:before="240"/>
      </w:pPr>
      <w:r>
        <w:rPr>
          <w:rFonts w:ascii="Calibri" w:cs="Calibri" w:eastAsia="Calibri" w:hAnsi="Calibri"/>
          <w:b/>
          <w:bCs/>
          <w:color w:val="1A5EA8"/>
          <w:sz w:val="24"/>
          <w:szCs w:val="24"/>
        </w:rPr>
        <w:t xml:space="preserve">4.2 VS prediction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560"/>
      </w:tblGrid>
      <w:tr>
        <w:tc>
          <w:tcPr>
            <w:tcW w:type="dxa" w:w="3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Approach</w:t>
            </w:r>
          </w:p>
        </w:tc>
        <w:tc>
          <w:tcPr>
            <w:tcW w:type="dxa" w:w="17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Precision</w:t>
            </w:r>
          </w:p>
        </w:tc>
        <w:tc>
          <w:tcPr>
            <w:tcW w:type="dxa" w:w="17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Recall</w:t>
            </w:r>
          </w:p>
        </w:tc>
        <w:tc>
          <w:tcPr>
            <w:tcW w:type="dxa" w:w="25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V1 – catalog semantic search only</w:t>
            </w:r>
          </w:p>
        </w:tc>
        <w:tc>
          <w:tcPr>
            <w:tcW w:type="dxa" w:w="17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~35%</w:t>
            </w:r>
          </w:p>
        </w:tc>
        <w:tc>
          <w:tcPr>
            <w:tcW w:type="dxa" w:w="17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~66% ceiling</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bCs/>
                <w:color w:val="B83232"/>
                <w:sz w:val="20"/>
                <w:szCs w:val="20"/>
              </w:rPr>
              <w:t xml:space="preserve">Not approved</w:t>
            </w:r>
          </w:p>
        </w:tc>
      </w:tr>
      <w:tr>
        <w:tc>
          <w:tcPr>
            <w:tcW w:type="dxa" w:w="34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V2 – catalog + historical retrieval + LLM</w:t>
            </w:r>
          </w:p>
        </w:tc>
        <w:tc>
          <w:tcPr>
            <w:tcW w:type="dxa" w:w="17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65%+</w:t>
            </w:r>
          </w:p>
        </w:tc>
        <w:tc>
          <w:tcPr>
            <w:tcW w:type="dxa" w:w="17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75–80%</w:t>
            </w:r>
          </w:p>
        </w:tc>
        <w:tc>
          <w:tcPr>
            <w:tcW w:type="dxa" w:w="256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Approved ✓</w:t>
            </w:r>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GPT-5 (tested)</w:t>
            </w:r>
          </w:p>
        </w:tc>
        <w:tc>
          <w:tcPr>
            <w:tcW w:type="dxa" w:w="17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i/>
                <w:iCs/>
                <w:color w:val="1C2B3A"/>
                <w:sz w:val="20"/>
                <w:szCs w:val="20"/>
              </w:rPr>
              <w:t xml:space="preserve">~same</w:t>
            </w:r>
          </w:p>
        </w:tc>
        <w:tc>
          <w:tcPr>
            <w:tcW w:type="dxa" w:w="17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i/>
                <w:iCs/>
                <w:color w:val="1C2B3A"/>
                <w:sz w:val="20"/>
                <w:szCs w:val="20"/>
              </w:rPr>
              <w:t xml:space="preserve">~same</w:t>
            </w:r>
          </w:p>
        </w:tc>
        <w:tc>
          <w:tcPr>
            <w:tcW w:type="dxa" w:w="25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70% gateway timeout — dropped</w:t>
            </w:r>
          </w:p>
        </w:tc>
      </w:tr>
    </w:tbl>
    <w:p>
      <w:pPr>
        <w:spacing w:after="120"/>
      </w:pPr>
      <w:r>
        <w:rPr>
          <w:rFonts w:ascii="Calibri" w:cs="Calibri" w:eastAsia="Calibri" w:hAnsi="Calibri"/>
          <w:b w:val="false"/>
          <w:bCs w:val="false"/>
          <w:color w:val="1C2B3A"/>
          <w:sz w:val="22"/>
          <w:szCs w:val="22"/>
        </w:rPr>
        <w:t xml:space="preserve">The ±3–5% variation across runs is LLM non-determinism. Metric ranges are reported rather than single numbers. The ~30% single-label rate in the GT means measured precision is pessimistic — true performance is likely higher. The BA team has reviewed and approved these accuracy numbers for moving forward.</w:t>
      </w:r>
    </w:p>
    <w:p>
      <w:pPr>
        <w:pStyle w:val="Heading2"/>
        <w:spacing w:after="80" w:before="240"/>
      </w:pPr>
      <w:r>
        <w:rPr>
          <w:rFonts w:ascii="Calibri" w:cs="Calibri" w:eastAsia="Calibri" w:hAnsi="Calibri"/>
          <w:b/>
          <w:bCs/>
          <w:color w:val="1A5EA8"/>
          <w:sz w:val="24"/>
          <w:szCs w:val="24"/>
        </w:rPr>
        <w:t xml:space="preserve">4.3 Stage prediction (early results)</w:t>
      </w:r>
    </w:p>
    <w:p>
      <w:pPr>
        <w:spacing w:after="120"/>
      </w:pPr>
      <w:r>
        <w:rPr>
          <w:rFonts w:ascii="Calibri" w:cs="Calibri" w:eastAsia="Calibri" w:hAnsi="Calibri"/>
          <w:b w:val="false"/>
          <w:bCs w:val="false"/>
          <w:color w:val="1C2B3A"/>
          <w:sz w:val="22"/>
          <w:szCs w:val="22"/>
        </w:rPr>
        <w:t xml:space="preserve">Stage prediction micro F1 is at 0.497 with evidence-grounded prompting. Of 161 false negatives: 67 are IMPLIED_EVIDENCE_MISSED (context implies the stage but doesn't state it), 61 are GT_TOO_BROAD (Epic valid downstream but no signal in original IDMT), and 0 are EXPLICIT_EVIDENCE_MISSED — meaning the model isn't missing obvious stage names. The miss pattern is structural, not a prompting problem.</w:t>
      </w:r>
    </w:p>
    <w:p>
      <w:pPr>
        <w:spacing w:after="120"/>
      </w:pPr>
      <w:r>
        <w:rPr>
          <w:rFonts w:ascii="Calibri" w:cs="Calibri" w:eastAsia="Calibri" w:hAnsi="Calibri"/>
          <w:b w:val="false"/>
          <w:bCs w:val="false"/>
          <w:color w:val="1C2B3A"/>
          <w:sz w:val="22"/>
          <w:szCs w:val="22"/>
        </w:rPr>
        <w:t xml:space="preserve">These results are preliminary pending a stage ingestion data quality pass.</w:t>
      </w:r>
    </w:p>
    <w:p>
      <w:pPr>
        <w:pStyle w:val="Heading1"/>
        <w:pBdr>
          <w:bottom w:val="single" w:color="CCCCCC" w:sz="4" w:space="4"/>
        </w:pBdr>
        <w:spacing w:after="120" w:before="360"/>
      </w:pPr>
      <w:r>
        <w:rPr>
          <w:rFonts w:ascii="Calibri" w:cs="Calibri" w:eastAsia="Calibri" w:hAnsi="Calibri"/>
          <w:b/>
          <w:bCs/>
          <w:color w:val="1C2B3A"/>
          <w:sz w:val="30"/>
          <w:szCs w:val="30"/>
        </w:rPr>
        <w:t xml:space="preserve">5.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600"/>
        <w:gridCol w:w="1860"/>
        <w:gridCol w:w="1800"/>
      </w:tblGrid>
      <w:tr>
        <w:tc>
          <w:tcPr>
            <w:tcW w:type="dxa" w:w="11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Decision</w:t>
            </w:r>
          </w:p>
        </w:tc>
        <w:tc>
          <w:tcPr>
            <w:tcW w:type="dxa" w:w="26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Rationale</w:t>
            </w:r>
          </w:p>
        </w:tc>
        <w:tc>
          <w:tcPr>
            <w:tcW w:type="dxa" w:w="18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Alternatives</w:t>
            </w:r>
          </w:p>
        </w:tc>
        <w:tc>
          <w:tcPr>
            <w:tcW w:type="dxa" w:w="18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Status</w:t>
            </w:r>
          </w:p>
        </w:tc>
      </w:tr>
      <w:tr>
        <w:tc>
          <w:tcPr>
            <w:tcW w:type="dxa" w:w="11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D-001</w:t>
            </w:r>
          </w:p>
        </w:tc>
        <w:tc>
          <w:tcPr>
            <w:tcW w:type="dxa" w:w="20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LLM summarization before retrieval</w:t>
            </w:r>
          </w:p>
        </w:tc>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Idea Cards exceed ~3,000-word index limit; summary preserves intent</w:t>
            </w:r>
          </w:p>
        </w:tc>
        <w:tc>
          <w:tcPr>
            <w:tcW w:type="dxa" w:w="18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Truncation, chunking</w:t>
            </w:r>
          </w:p>
        </w:tc>
        <w:tc>
          <w:tcPr>
            <w:tcW w:type="dxa" w:w="18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Accepted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D-002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Retrieve top 30 VS candidates from catalog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Broad retrieval avoids dropping valid VSes early; LLM handles final selection</w:t>
            </w:r>
          </w:p>
        </w:tc>
        <w:tc>
          <w:tcPr>
            <w:tcW w:type="dxa" w:w="1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Top 5, top 10</w:t>
            </w:r>
          </w:p>
        </w:tc>
        <w:tc>
          <w:tcPr>
            <w:tcW w:type="dxa" w:w="18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Accepted</w:t>
            </w:r>
          </w:p>
        </w:tc>
      </w:tr>
      <w:tr>
        <w:tc>
          <w:tcPr>
            <w:tcW w:type="dxa" w:w="11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D-003</w:t>
            </w:r>
          </w:p>
        </w:tc>
        <w:tc>
          <w:tcPr>
            <w:tcW w:type="dxa" w:w="20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Add historical IDMT retrieval (Approach 2)</w:t>
            </w:r>
          </w:p>
        </w:tc>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Catalog-only missed implied VSes; history shows BA reasoning patterns</w:t>
            </w:r>
          </w:p>
        </w:tc>
        <w:tc>
          <w:tcPr>
            <w:tcW w:type="dxa" w:w="18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Catalog-only (Approach 1)</w:t>
            </w:r>
          </w:p>
        </w:tc>
        <w:tc>
          <w:tcPr>
            <w:tcW w:type="dxa" w:w="18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Approved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D-004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Classify VS labels as direct/implied during ingestion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Lets prediction LLM reason differently about implied candidates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No classification</w:t>
            </w:r>
          </w:p>
        </w:tc>
        <w:tc>
          <w:tcPr>
            <w:tcW w:type="dxa" w:w="18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Accepted</w:t>
            </w:r>
          </w:p>
        </w:tc>
      </w:tr>
      <w:tr>
        <w:tc>
          <w:tcPr>
            <w:tcW w:type="dxa" w:w="11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D-005</w:t>
            </w:r>
          </w:p>
        </w:tc>
        <w:tc>
          <w:tcPr>
            <w:tcW w:type="dxa" w:w="20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MarkItDown over Unstructured for extraction</w:t>
            </w:r>
          </w:p>
        </w:tc>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Both gave equivalent results on text/table Idea Cards; simpler dependency</w:t>
            </w:r>
          </w:p>
        </w:tc>
        <w:tc>
          <w:tcPr>
            <w:tcW w:type="dxa" w:w="18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Unstructured</w:t>
            </w:r>
          </w:p>
        </w:tc>
        <w:tc>
          <w:tcPr>
            <w:tcW w:type="dxa" w:w="18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Accepted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D-006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Drop GPT-5 as inference model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70% gateway timeout; no accuracy gain in completed runs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GPT-5</w:t>
            </w:r>
          </w:p>
        </w:tc>
        <w:tc>
          <w:tcPr>
            <w:tcW w:type="dxa" w:w="1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Rejected</w:t>
            </w:r>
          </w:p>
        </w:tc>
      </w:tr>
      <w:tr>
        <w:tc>
          <w:tcPr>
            <w:tcW w:type="dxa" w:w="11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D-007</w:t>
            </w:r>
          </w:p>
        </w:tc>
        <w:tc>
          <w:tcPr>
            <w:tcW w:type="dxa" w:w="20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Evidence-grounding for stage selection</w:t>
            </w:r>
          </w:p>
        </w:tc>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Precision improved; each stage prediction traceable to ticket context</w:t>
            </w:r>
          </w:p>
        </w:tc>
        <w:tc>
          <w:tcPr>
            <w:tcW w:type="dxa" w:w="18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Free-form selection</w:t>
            </w:r>
          </w:p>
        </w:tc>
        <w:tc>
          <w:tcPr>
            <w:tcW w:type="dxa" w:w="18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Accepted</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60"/>
        <w:gridCol w:w="2600"/>
      </w:tblGrid>
      <w:tr>
        <w:tc>
          <w:tcPr>
            <w:tcW w:type="dxa" w:w="28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Single-label GT suppresses precision</w:t>
            </w:r>
          </w:p>
        </w:tc>
        <w:tc>
          <w:tcPr>
            <w:tcW w:type="dxa" w:w="12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Medium</w:t>
            </w:r>
          </w:p>
        </w:tc>
        <w:tc>
          <w:tcPr>
            <w:tcW w:type="dxa" w:w="27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True model performance likely better than metrics show</w:t>
            </w:r>
          </w:p>
        </w:tc>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Manual spot-check ~30 single-label tickets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Gateway timeouts under load</w:t>
            </w:r>
          </w:p>
        </w:tc>
        <w:tc>
          <w:tcPr>
            <w:tcW w:type="dxa" w:w="12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Prediction failures; GPT-5 dropped for this reason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Cap ingestion concurrency at 3; use current model config</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Dead Idea Card links (~90%)</w:t>
            </w:r>
          </w:p>
        </w:tc>
        <w:tc>
          <w:tcPr>
            <w:tcW w:type="dxa" w:w="12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Medium</w:t>
            </w:r>
          </w:p>
        </w:tc>
        <w:tc>
          <w:tcPr>
            <w:tcW w:type="dxa" w:w="27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Weaker context for ~38% of labeled pool</w:t>
            </w:r>
          </w:p>
        </w:tc>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Fall back to description + attachments; log link status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Stage ingestion data quality</w:t>
            </w:r>
          </w:p>
        </w:tc>
        <w:tc>
          <w:tcPr>
            <w:tcW w:type="dxa" w:w="12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Stage prediction unreliable until data issues resolved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Revisit ingestion pipeline before promoting stage to pilot</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±3–5% LLM run-to-run variability</w:t>
            </w:r>
          </w:p>
        </w:tc>
        <w:tc>
          <w:tcPr>
            <w:tcW w:type="dxa" w:w="12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Low</w:t>
            </w:r>
          </w:p>
        </w:tc>
        <w:tc>
          <w:tcPr>
            <w:tcW w:type="dxa" w:w="27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Precise benchmarking harder</w:t>
            </w:r>
          </w:p>
        </w:tc>
        <w:tc>
          <w:tcPr>
            <w:tcW w:type="dxa" w:w="2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Report metric ranges; lock inference settings for formal eval</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7. Open Items</w:t>
      </w:r>
    </w:p>
    <w:p>
      <w:pPr>
        <w:pStyle w:val="Heading2"/>
        <w:spacing w:after="80" w:before="240"/>
      </w:pPr>
      <w:r>
        <w:rPr>
          <w:rFonts w:ascii="Calibri" w:cs="Calibri" w:eastAsia="Calibri" w:hAnsi="Calibri"/>
          <w:b/>
          <w:bCs/>
          <w:color w:val="1A5EA8"/>
          <w:sz w:val="24"/>
          <w:szCs w:val="24"/>
        </w:rPr>
        <w:t xml:space="preserve">Theme Generation — In Progress</w:t>
      </w:r>
    </w:p>
    <w:p>
      <w:pPr>
        <w:spacing w:after="120"/>
      </w:pPr>
      <w:r>
        <w:rPr>
          <w:rFonts w:ascii="Calibri" w:cs="Calibri" w:eastAsia="Calibri" w:hAnsi="Calibri"/>
          <w:b w:val="false"/>
          <w:bCs w:val="false"/>
          <w:color w:val="1C2B3A"/>
          <w:sz w:val="22"/>
          <w:szCs w:val="22"/>
        </w:rPr>
        <w:t xml:space="preserve">The VS prediction pipeline is built and evaluated. The BA team has approved the accuracy. Active work is now focused on moving Theme generation toward a pilot — wiring predictions into Jira as draft Themes for BA review.</w:t>
      </w:r>
    </w:p>
    <w:p>
      <w:pPr>
        <w:pStyle w:val="Heading2"/>
        <w:spacing w:after="80" w:before="240"/>
      </w:pPr>
      <w:r>
        <w:rPr>
          <w:rFonts w:ascii="Calibri" w:cs="Calibri" w:eastAsia="Calibri" w:hAnsi="Calibri"/>
          <w:b/>
          <w:bCs/>
          <w:color w:val="1A5EA8"/>
          <w:sz w:val="24"/>
          <w:szCs w:val="24"/>
        </w:rPr>
        <w:t xml:space="preserve">Epic Generation — Pending</w:t>
      </w:r>
    </w:p>
    <w:p>
      <w:pPr>
        <w:spacing w:after="120"/>
      </w:pPr>
      <w:r>
        <w:rPr>
          <w:rFonts w:ascii="Calibri" w:cs="Calibri" w:eastAsia="Calibri" w:hAnsi="Calibri"/>
          <w:b w:val="false"/>
          <w:bCs w:val="false"/>
          <w:color w:val="1C2B3A"/>
          <w:sz w:val="22"/>
          <w:szCs w:val="22"/>
        </w:rPr>
        <w:t xml:space="preserve">Epic (stage) prediction depends on Theme generation being stable first and will follow as a second phase. Before Epic generation can be reliably evaluated, the stage ingestion data needs to go through the same quality pass that VS ingestion did — the same issues around single-label GT, implied classification, and context quality apply here too.</w:t>
      </w:r>
    </w:p>
    <w:p>
      <w:pPr>
        <w:pBdr>
          <w:top w:val="single" w:color="CCCCCC" w:sz="3" w:space="4"/>
        </w:pBdr>
        <w:spacing w:after="0" w:before="240"/>
        <w:jc w:val="center"/>
      </w:pPr>
      <w:r>
        <w:rPr>
          <w:rFonts w:ascii="Calibri" w:cs="Calibri" w:eastAsia="Calibri" w:hAnsi="Calibri"/>
          <w:b w:val="false"/>
          <w:bCs w:val="false"/>
          <w:i/>
          <w:iCs/>
          <w:color w:val="777777"/>
          <w:sz w:val="18"/>
          <w:szCs w:val="18"/>
        </w:rPr>
        <w:t xml:space="preserve">May 2026  |  v1.0</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026"/>
      </w:tabs>
      <w:spacing w:before="0"/>
    </w:pPr>
    <w:r>
      <w:rPr>
        <w:rFonts w:ascii="Calibri" w:cs="Calibri" w:eastAsia="Calibri" w:hAnsi="Calibri"/>
        <w:b w:val="false"/>
        <w:bCs w:val="false"/>
        <w:color w:val="777777"/>
        <w:sz w:val="18"/>
        <w:szCs w:val="18"/>
      </w:rPr>
      <w:t xml:space="preserve">Page </w:t>
    </w:r>
    <w:r>
      <w:rPr>
        <w:rFonts w:ascii="Calibri" w:cs="Calibri" w:eastAsia="Calibri" w:hAnsi="Calibri"/>
        <w:b w:val="false"/>
        <w:bCs w:val="false"/>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026"/>
      </w:tabs>
      <w:spacing w:after="0"/>
    </w:pPr>
    <w:r>
      <w:rPr>
        <w:rFonts w:ascii="Calibri" w:cs="Calibri" w:eastAsia="Calibri" w:hAnsi="Calibri"/>
        <w:b w:val="false"/>
        <w:bCs w:val="false"/>
        <w:color w:val="777777"/>
        <w:sz w:val="18"/>
        <w:szCs w:val="18"/>
      </w:rPr>
      <w:t xml:space="preserve">Jira Theme &amp; Epic Generator – Technical Design Document</w:t>
    </w:r>
    <w:r>
      <w:rPr>
        <w:rFonts w:ascii="Calibri" w:cs="Calibri" w:eastAsia="Calibri" w:hAnsi="Calibri"/>
        <w:b w:val="false"/>
        <w:bCs w:val="false"/>
        <w:color w:val="777777"/>
        <w:sz w:val="18"/>
        <w:szCs w:val="18"/>
      </w:rPr>
      <w:t xml:space="preserve">	Draft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b w:val="false"/>
        <w:bCs w:val="false"/>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C2B3A"/>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1A5EA8"/>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1C2B3A"/>
      <w:sz w:val="22"/>
      <w:szCs w:val="22"/>
    </w:rPr>
  </w:style>
  <w:style w:type="paragraph" w:styleId="Normal">
    <w:name w:val="Normal"/>
    <w:qFormat/>
    <w:pPr>
      <w:spacing w:after="120"/>
    </w:pPr>
    <w:rPr>
      <w:rFonts w:ascii="Calibri" w:cs="Calibri" w:eastAsia="Calibri" w:hAnsi="Calibri"/>
      <w:b w:val="false"/>
      <w:bCs w:val="false"/>
      <w:color w:val="1C2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2026-06-01T21:48:23.853Z</dcterms:created>
  <dcterms:modified xsi:type="dcterms:W3CDTF">2026-06-01T21:48:23.853Z</dcterms:modified>
</cp:coreProperties>
</file>

<file path=docProps/custom.xml><?xml version="1.0" encoding="utf-8"?>
<Properties xmlns="http://schemas.openxmlformats.org/officeDocument/2006/custom-properties" xmlns:vt="http://schemas.openxmlformats.org/officeDocument/2006/docPropsVTypes"/>
</file>