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53DFA67">
      <w:pPr>
        <w:rPr>
          <w:rFonts w:eastAsia="黑体"/>
          <w:b/>
          <w:color w:val="000000"/>
          <w:sz w:val="44"/>
          <w:szCs w:val="44"/>
        </w:rPr>
      </w:pPr>
    </w:p>
    <w:p w14:paraId="12B6C3A8">
      <w:pPr>
        <w:jc w:val="center"/>
        <w:rPr>
          <w:rFonts w:eastAsia="黑体"/>
          <w:b/>
          <w:color w:val="000000"/>
          <w:sz w:val="44"/>
          <w:szCs w:val="44"/>
        </w:rPr>
      </w:pPr>
      <w:r>
        <w:rPr>
          <w:rFonts w:eastAsia="黑体"/>
          <w:b/>
          <w:color w:val="000000"/>
          <w:sz w:val="44"/>
          <w:szCs w:val="44"/>
        </w:rPr>
        <w:drawing>
          <wp:inline distT="0" distB="0" distL="114300" distR="114300">
            <wp:extent cx="4029075" cy="753110"/>
            <wp:effectExtent l="0" t="0" r="9525" b="8890"/>
            <wp:docPr id="1" name="图片 1" descr="西电科大背景透明LOGO-标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西电科大背景透明LOGO-标准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75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783CF">
      <w:pPr>
        <w:jc w:val="center"/>
        <w:rPr>
          <w:rFonts w:eastAsia="黑体"/>
          <w:b/>
          <w:color w:val="000000"/>
          <w:sz w:val="44"/>
          <w:szCs w:val="44"/>
        </w:rPr>
      </w:pPr>
    </w:p>
    <w:p w14:paraId="19718D3F">
      <w:pPr>
        <w:jc w:val="center"/>
        <w:rPr>
          <w:rFonts w:eastAsia="黑体"/>
          <w:b/>
          <w:color w:val="000000"/>
          <w:sz w:val="44"/>
          <w:szCs w:val="44"/>
        </w:rPr>
      </w:pPr>
      <w:r>
        <w:rPr>
          <w:rFonts w:hint="eastAsia" w:eastAsia="黑体"/>
          <w:b/>
          <w:color w:val="000000"/>
          <w:sz w:val="44"/>
          <w:szCs w:val="44"/>
        </w:rPr>
        <w:t>计算机科学与技术学院</w:t>
      </w:r>
    </w:p>
    <w:p w14:paraId="2BB6D4AC">
      <w:pPr>
        <w:spacing w:line="900" w:lineRule="exact"/>
        <w:jc w:val="center"/>
        <w:rPr>
          <w:rFonts w:eastAsia="黑体"/>
          <w:b/>
          <w:color w:val="000000"/>
          <w:sz w:val="44"/>
          <w:szCs w:val="44"/>
        </w:rPr>
      </w:pPr>
      <w:r>
        <w:rPr>
          <w:rFonts w:hint="eastAsia" w:eastAsia="黑体"/>
          <w:b/>
          <w:color w:val="000000"/>
          <w:sz w:val="44"/>
          <w:szCs w:val="44"/>
        </w:rPr>
        <w:t>网络</w:t>
      </w:r>
      <w:r>
        <w:rPr>
          <w:rFonts w:eastAsia="黑体"/>
          <w:b/>
          <w:color w:val="000000"/>
          <w:sz w:val="44"/>
          <w:szCs w:val="44"/>
        </w:rPr>
        <w:t>综合工程设计报告</w:t>
      </w:r>
    </w:p>
    <w:p w14:paraId="460A22EF">
      <w:pPr>
        <w:spacing w:line="900" w:lineRule="exact"/>
        <w:ind w:firstLine="1200" w:firstLineChars="400"/>
        <w:rPr>
          <w:rFonts w:eastAsia="仿宋"/>
          <w:color w:val="000000"/>
          <w:sz w:val="30"/>
          <w:szCs w:val="30"/>
        </w:rPr>
      </w:pPr>
    </w:p>
    <w:p w14:paraId="3F991DA9">
      <w:pPr>
        <w:spacing w:line="900" w:lineRule="exact"/>
        <w:ind w:firstLine="1205" w:firstLineChars="400"/>
        <w:rPr>
          <w:rFonts w:eastAsia="仿宋"/>
          <w:b/>
          <w:color w:val="000000"/>
          <w:sz w:val="30"/>
          <w:szCs w:val="30"/>
        </w:rPr>
      </w:pPr>
      <w:r>
        <w:rPr>
          <w:rFonts w:eastAsia="仿宋"/>
          <w:b/>
          <w:color w:val="000000"/>
          <w:sz w:val="30"/>
          <w:szCs w:val="30"/>
        </w:rPr>
        <w:t>题     目：</w:t>
      </w:r>
      <w:r>
        <w:rPr>
          <w:rFonts w:eastAsia="仿宋"/>
          <w:b/>
          <w:color w:val="000000"/>
          <w:sz w:val="30"/>
          <w:szCs w:val="30"/>
          <w:u w:val="single"/>
        </w:rPr>
        <w:t xml:space="preserve">                               </w:t>
      </w:r>
      <w:r>
        <w:rPr>
          <w:rFonts w:ascii="宋体" w:hAnsi="宋体" w:eastAsia="宋体"/>
          <w:b w:val="0"/>
          <w:sz w:val="30"/>
        </w:rPr>
        <w:t>基于大模型的智能疏导仓共情语音交互与状态监测系统</w:t>
      </w:r>
    </w:p>
    <w:p w14:paraId="3F3AD38F">
      <w:pPr>
        <w:spacing w:line="900" w:lineRule="exact"/>
        <w:ind w:firstLine="1205" w:firstLineChars="400"/>
        <w:rPr>
          <w:rFonts w:eastAsia="仿宋"/>
          <w:b/>
          <w:color w:val="000000"/>
          <w:sz w:val="30"/>
          <w:szCs w:val="30"/>
          <w:u w:val="single"/>
        </w:rPr>
      </w:pPr>
      <w:r>
        <w:rPr>
          <w:rFonts w:eastAsia="仿宋"/>
          <w:b/>
          <w:color w:val="000000"/>
          <w:sz w:val="30"/>
          <w:szCs w:val="30"/>
        </w:rPr>
        <w:t>负  责 人：</w:t>
      </w:r>
      <w:r>
        <w:rPr>
          <w:rFonts w:eastAsia="仿宋"/>
          <w:color w:val="000000"/>
          <w:sz w:val="30"/>
          <w:szCs w:val="30"/>
          <w:u w:val="single"/>
        </w:rPr>
        <w:t xml:space="preserve">                               </w:t>
      </w:r>
      <w:r>
        <w:rPr>
          <w:rFonts w:ascii="宋体" w:hAnsi="宋体" w:eastAsia="宋体"/>
          <w:b w:val="0"/>
          <w:sz w:val="30"/>
        </w:rPr>
        <w:t>赵阳</w:t>
      </w:r>
    </w:p>
    <w:p w14:paraId="5F313541">
      <w:pPr>
        <w:spacing w:line="900" w:lineRule="exact"/>
        <w:ind w:firstLine="1205" w:firstLineChars="400"/>
        <w:rPr>
          <w:rFonts w:eastAsia="仿宋"/>
          <w:b/>
          <w:color w:val="000000"/>
          <w:sz w:val="30"/>
          <w:szCs w:val="30"/>
        </w:rPr>
      </w:pPr>
      <w:r>
        <w:rPr>
          <w:rFonts w:eastAsia="仿宋"/>
          <w:b/>
          <w:color w:val="000000"/>
          <w:sz w:val="30"/>
          <w:szCs w:val="30"/>
        </w:rPr>
        <w:t>学     号：</w:t>
      </w:r>
      <w:r>
        <w:rPr>
          <w:rFonts w:eastAsia="仿宋"/>
          <w:color w:val="000000"/>
          <w:sz w:val="30"/>
          <w:szCs w:val="30"/>
          <w:u w:val="single"/>
        </w:rPr>
        <w:t xml:space="preserve">                               </w:t>
      </w:r>
    </w:p>
    <w:p w14:paraId="45406E12">
      <w:pPr>
        <w:spacing w:line="900" w:lineRule="exact"/>
        <w:ind w:firstLine="1205" w:firstLineChars="400"/>
        <w:rPr>
          <w:rFonts w:eastAsia="仿宋"/>
          <w:b/>
          <w:color w:val="000000"/>
          <w:sz w:val="30"/>
          <w:szCs w:val="30"/>
        </w:rPr>
      </w:pPr>
      <w:r>
        <w:rPr>
          <w:rFonts w:eastAsia="仿宋"/>
          <w:b/>
          <w:color w:val="000000"/>
          <w:sz w:val="30"/>
          <w:szCs w:val="30"/>
        </w:rPr>
        <w:t>专     业：</w:t>
      </w:r>
      <w:r>
        <w:rPr>
          <w:rFonts w:eastAsia="仿宋"/>
          <w:color w:val="000000"/>
          <w:sz w:val="30"/>
          <w:szCs w:val="30"/>
          <w:u w:val="single"/>
        </w:rPr>
        <w:t xml:space="preserve">                               </w:t>
      </w:r>
      <w:r>
        <w:rPr>
          <w:rFonts w:ascii="宋体" w:hAnsi="宋体" w:eastAsia="宋体"/>
          <w:b w:val="0"/>
          <w:sz w:val="30"/>
        </w:rPr>
        <w:t>计算机科学与技术</w:t>
      </w:r>
    </w:p>
    <w:p w14:paraId="184C3E24">
      <w:pPr>
        <w:spacing w:line="900" w:lineRule="exact"/>
        <w:ind w:firstLine="1205" w:firstLineChars="400"/>
        <w:rPr>
          <w:rFonts w:eastAsia="仿宋"/>
          <w:b/>
          <w:color w:val="000000"/>
          <w:sz w:val="30"/>
          <w:szCs w:val="30"/>
          <w:u w:val="single"/>
        </w:rPr>
      </w:pPr>
      <w:r>
        <w:rPr>
          <w:rFonts w:eastAsia="仿宋"/>
          <w:b/>
          <w:color w:val="000000"/>
          <w:sz w:val="30"/>
          <w:szCs w:val="30"/>
        </w:rPr>
        <w:t>指导老师：</w:t>
      </w:r>
      <w:r>
        <w:rPr>
          <w:rFonts w:eastAsia="仿宋"/>
          <w:color w:val="000000"/>
          <w:sz w:val="30"/>
          <w:szCs w:val="30"/>
          <w:u w:val="single"/>
        </w:rPr>
        <w:t xml:space="preserve">                               </w:t>
      </w:r>
      <w:r>
        <w:rPr>
          <w:rFonts w:ascii="宋体" w:hAnsi="宋体" w:eastAsia="宋体"/>
          <w:b w:val="0"/>
          <w:sz w:val="30"/>
        </w:rPr>
        <w:t>赵梦婷</w:t>
      </w:r>
    </w:p>
    <w:p w14:paraId="1E7F254F">
      <w:pPr>
        <w:spacing w:line="900" w:lineRule="exact"/>
        <w:ind w:firstLine="1205" w:firstLineChars="400"/>
        <w:rPr>
          <w:rFonts w:eastAsia="仿宋"/>
          <w:b/>
          <w:color w:val="000000"/>
          <w:sz w:val="30"/>
          <w:szCs w:val="30"/>
        </w:rPr>
      </w:pPr>
      <w:r>
        <w:rPr>
          <w:rFonts w:ascii="宋体" w:hAnsi="宋体" w:eastAsia="宋体"/>
          <w:b/>
          <w:sz w:val="30"/>
        </w:rPr>
        <w:t>起止时间： 2026 年 9 月 至  2027 年 1 月</w:t>
      </w:r>
    </w:p>
    <w:p w14:paraId="03BFF999">
      <w:pPr>
        <w:ind w:firstLine="1807" w:firstLineChars="600"/>
        <w:rPr>
          <w:rFonts w:eastAsia="仿宋"/>
          <w:b/>
          <w:color w:val="000000"/>
          <w:sz w:val="30"/>
          <w:szCs w:val="30"/>
          <w:u w:val="single"/>
        </w:rPr>
      </w:pPr>
    </w:p>
    <w:p w14:paraId="1012EDC4">
      <w:pPr>
        <w:jc w:val="center"/>
        <w:rPr>
          <w:rFonts w:hint="eastAsia" w:eastAsia="仿宋"/>
          <w:b/>
          <w:color w:val="000000"/>
          <w:sz w:val="30"/>
          <w:szCs w:val="30"/>
          <w:lang w:val="en-US" w:eastAsia="zh-CN"/>
        </w:rPr>
      </w:pPr>
    </w:p>
    <w:p w14:paraId="798FAA9D">
      <w:pPr>
        <w:jc w:val="center"/>
        <w:rPr>
          <w:rFonts w:eastAsia="仿宋"/>
          <w:b/>
          <w:color w:val="000000"/>
          <w:sz w:val="30"/>
          <w:szCs w:val="30"/>
        </w:rPr>
      </w:pPr>
    </w:p>
    <w:p w14:paraId="26CA35C9">
      <w:pPr>
        <w:spacing w:line="360" w:lineRule="auto"/>
        <w:jc w:val="center"/>
        <w:rPr>
          <w:rFonts w:eastAsia="仿宋"/>
          <w:b/>
          <w:color w:val="000000"/>
          <w:sz w:val="30"/>
          <w:szCs w:val="30"/>
        </w:rPr>
      </w:pPr>
      <w:r>
        <w:rPr>
          <w:rFonts w:eastAsia="仿宋"/>
          <w:b/>
          <w:color w:val="000000"/>
          <w:sz w:val="30"/>
          <w:szCs w:val="30"/>
        </w:rPr>
        <w:t xml:space="preserve">   </w:t>
      </w:r>
      <w:r>
        <w:rPr>
          <w:rFonts w:hint="eastAsia" w:eastAsia="仿宋"/>
          <w:b/>
          <w:color w:val="000000"/>
          <w:sz w:val="30"/>
          <w:szCs w:val="30"/>
        </w:rPr>
        <w:t>计算机科学与技术学院</w:t>
      </w:r>
      <w:r>
        <w:rPr>
          <w:rFonts w:eastAsia="仿宋"/>
          <w:b/>
          <w:color w:val="000000"/>
          <w:sz w:val="30"/>
          <w:szCs w:val="30"/>
        </w:rPr>
        <w:t xml:space="preserve"> 网络工程系</w:t>
      </w:r>
    </w:p>
    <w:p w14:paraId="113B965E">
      <w:pPr>
        <w:spacing w:line="360" w:lineRule="auto"/>
        <w:ind w:firstLine="3463" w:firstLineChars="1150"/>
        <w:rPr>
          <w:b/>
          <w:color w:val="000000"/>
          <w:sz w:val="30"/>
          <w:szCs w:val="30"/>
        </w:rPr>
      </w:pPr>
      <w:r>
        <w:rPr>
          <w:b/>
          <w:color w:val="000000"/>
          <w:sz w:val="30"/>
          <w:szCs w:val="30"/>
        </w:rPr>
        <w:t>202</w:t>
      </w:r>
      <w:r>
        <w:rPr>
          <w:rFonts w:hint="eastAsia"/>
          <w:b/>
          <w:color w:val="000000"/>
          <w:sz w:val="30"/>
          <w:szCs w:val="30"/>
          <w:lang w:val="en-US" w:eastAsia="zh-CN"/>
        </w:rPr>
        <w:t>6</w:t>
      </w:r>
      <w:r>
        <w:rPr>
          <w:rFonts w:hAnsi="宋体"/>
          <w:b/>
          <w:color w:val="000000"/>
          <w:sz w:val="30"/>
          <w:szCs w:val="30"/>
        </w:rPr>
        <w:t>年</w:t>
      </w:r>
      <w:r>
        <w:rPr>
          <w:b/>
          <w:color w:val="000000"/>
          <w:sz w:val="30"/>
          <w:szCs w:val="30"/>
        </w:rPr>
        <w:t>9</w:t>
      </w:r>
      <w:r>
        <w:rPr>
          <w:rFonts w:hAnsi="宋体"/>
          <w:b/>
          <w:color w:val="000000"/>
          <w:sz w:val="30"/>
          <w:szCs w:val="30"/>
        </w:rPr>
        <w:t>月</w:t>
      </w:r>
      <w:r>
        <w:rPr>
          <w:b/>
          <w:color w:val="000000"/>
          <w:sz w:val="30"/>
          <w:szCs w:val="30"/>
        </w:rPr>
        <w:t xml:space="preserve"> </w:t>
      </w:r>
    </w:p>
    <w:p w14:paraId="623EE117">
      <w:pPr>
        <w:spacing w:line="360" w:lineRule="auto"/>
        <w:ind w:firstLine="3162" w:firstLineChars="1050"/>
        <w:rPr>
          <w:rFonts w:eastAsia="仿宋"/>
          <w:b/>
          <w:color w:val="000000"/>
          <w:sz w:val="30"/>
          <w:szCs w:val="30"/>
        </w:rPr>
      </w:pPr>
    </w:p>
    <w:p w14:paraId="722B19E7">
      <w:pPr>
        <w:rPr>
          <w:rFonts w:eastAsia="仿宋"/>
          <w:b/>
          <w:color w:val="000000"/>
          <w:sz w:val="30"/>
          <w:szCs w:val="30"/>
        </w:rPr>
      </w:pPr>
    </w:p>
    <w:tbl>
      <w:tblPr>
        <w:tblStyle w:val="4"/>
        <w:tblW w:w="88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"/>
        <w:gridCol w:w="1260"/>
        <w:gridCol w:w="1620"/>
        <w:gridCol w:w="1080"/>
        <w:gridCol w:w="1260"/>
        <w:gridCol w:w="1620"/>
        <w:gridCol w:w="1220"/>
        <w:gridCol w:w="367"/>
      </w:tblGrid>
      <w:tr w14:paraId="3A70F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3348" w:type="dxa"/>
            <w:gridSpan w:val="3"/>
            <w:noWrap w:val="0"/>
            <w:vAlign w:val="center"/>
          </w:tcPr>
          <w:p w14:paraId="7AC14A6F">
            <w:pPr>
              <w:jc w:val="center"/>
              <w:rPr>
                <w:sz w:val="24"/>
              </w:rPr>
            </w:pPr>
            <w:bookmarkStart w:id="0" w:name="_GoBack"/>
            <w:bookmarkEnd w:id="0"/>
            <w:r>
              <w:rPr>
                <w:sz w:val="24"/>
              </w:rPr>
              <w:t>题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>目</w:t>
            </w:r>
          </w:p>
        </w:tc>
        <w:tc>
          <w:tcPr>
            <w:tcW w:w="5547" w:type="dxa"/>
            <w:gridSpan w:val="5"/>
            <w:noWrap w:val="0"/>
            <w:vAlign w:val="top"/>
          </w:tcPr>
          <w:p w14:paraId="5C0A5F7D">
            <w:pPr>
              <w:spacing w:line="360" w:lineRule="auto"/>
              <w:jc w:val="center"/>
              <w:rPr>
                <w:color w:val="FF0000"/>
                <w:sz w:val="28"/>
                <w:szCs w:val="28"/>
              </w:rPr>
            </w:pPr>
            <w:r>
              <w:rPr>
                <w:rFonts w:ascii="宋体" w:hAnsi="宋体" w:eastAsia="宋体"/>
                <w:b/>
                <w:sz w:val="24"/>
              </w:rPr>
              <w:t>基于大模型的智能疏导仓共情语音交互与状态监测系统</w:t>
            </w:r>
          </w:p>
        </w:tc>
      </w:tr>
      <w:tr w14:paraId="64802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468" w:type="dxa"/>
            <w:vMerge w:val="restart"/>
            <w:noWrap w:val="0"/>
            <w:textDirection w:val="tbRlV"/>
            <w:vAlign w:val="top"/>
          </w:tcPr>
          <w:p w14:paraId="3262F0F8">
            <w:pPr>
              <w:ind w:left="113" w:right="113"/>
              <w:jc w:val="center"/>
            </w:pPr>
            <w:r>
              <w:rPr>
                <w:rFonts w:hint="eastAsia"/>
              </w:rPr>
              <w:t>完成人</w:t>
            </w:r>
            <w:r>
              <w:t>(小组)</w:t>
            </w:r>
          </w:p>
        </w:tc>
        <w:tc>
          <w:tcPr>
            <w:tcW w:w="1260" w:type="dxa"/>
            <w:noWrap w:val="0"/>
            <w:vAlign w:val="top"/>
          </w:tcPr>
          <w:p w14:paraId="5988B600">
            <w:pPr>
              <w:jc w:val="center"/>
            </w:pPr>
            <w:r>
              <w:t>姓名</w:t>
            </w:r>
          </w:p>
        </w:tc>
        <w:tc>
          <w:tcPr>
            <w:tcW w:w="1620" w:type="dxa"/>
            <w:noWrap w:val="0"/>
            <w:vAlign w:val="top"/>
          </w:tcPr>
          <w:p w14:paraId="0FB91B32">
            <w:pPr>
              <w:adjustRightInd w:val="0"/>
              <w:snapToGrid w:val="0"/>
              <w:jc w:val="center"/>
            </w:pPr>
            <w:r>
              <w:t>学号</w:t>
            </w:r>
          </w:p>
        </w:tc>
        <w:tc>
          <w:tcPr>
            <w:tcW w:w="1080" w:type="dxa"/>
            <w:noWrap w:val="0"/>
            <w:vAlign w:val="top"/>
          </w:tcPr>
          <w:p w14:paraId="0D20C3EB">
            <w:pPr>
              <w:adjustRightInd w:val="0"/>
              <w:snapToGrid w:val="0"/>
              <w:jc w:val="center"/>
            </w:pPr>
            <w:r>
              <w:t>性别</w:t>
            </w:r>
          </w:p>
        </w:tc>
        <w:tc>
          <w:tcPr>
            <w:tcW w:w="1260" w:type="dxa"/>
            <w:noWrap w:val="0"/>
            <w:vAlign w:val="top"/>
          </w:tcPr>
          <w:p w14:paraId="5E025AD7">
            <w:pPr>
              <w:adjustRightInd w:val="0"/>
              <w:snapToGrid w:val="0"/>
              <w:jc w:val="center"/>
            </w:pPr>
            <w:r>
              <w:t>专业班级</w:t>
            </w:r>
          </w:p>
        </w:tc>
        <w:tc>
          <w:tcPr>
            <w:tcW w:w="1620" w:type="dxa"/>
            <w:noWrap w:val="0"/>
            <w:vAlign w:val="top"/>
          </w:tcPr>
          <w:p w14:paraId="3253C903">
            <w:pPr>
              <w:adjustRightInd w:val="0"/>
              <w:snapToGrid w:val="0"/>
              <w:jc w:val="center"/>
            </w:pPr>
            <w:r>
              <w:t>手机</w:t>
            </w:r>
          </w:p>
        </w:tc>
        <w:tc>
          <w:tcPr>
            <w:tcW w:w="1587" w:type="dxa"/>
            <w:gridSpan w:val="2"/>
            <w:noWrap w:val="0"/>
            <w:vAlign w:val="top"/>
          </w:tcPr>
          <w:p w14:paraId="0C2A0F4A">
            <w:pPr>
              <w:adjustRightInd w:val="0"/>
              <w:snapToGrid w:val="0"/>
              <w:jc w:val="center"/>
            </w:pPr>
            <w:r>
              <w:t>E-mail</w:t>
            </w:r>
          </w:p>
        </w:tc>
      </w:tr>
      <w:tr w14:paraId="05BB5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468" w:type="dxa"/>
            <w:vMerge w:val="continue"/>
            <w:noWrap w:val="0"/>
            <w:textDirection w:val="tbRlV"/>
            <w:vAlign w:val="top"/>
          </w:tcPr>
          <w:p w14:paraId="5C8D74EA">
            <w:pPr>
              <w:ind w:left="113" w:right="113"/>
              <w:jc w:val="center"/>
            </w:pPr>
          </w:p>
        </w:tc>
        <w:tc>
          <w:tcPr>
            <w:tcW w:w="1260" w:type="dxa"/>
            <w:noWrap w:val="0"/>
            <w:vAlign w:val="top"/>
          </w:tcPr>
          <w:p w14:paraId="0962FB3E">
            <w:pPr>
              <w:rPr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赵阳</w:t>
            </w:r>
          </w:p>
        </w:tc>
        <w:tc>
          <w:tcPr>
            <w:tcW w:w="1620" w:type="dxa"/>
            <w:noWrap w:val="0"/>
            <w:vAlign w:val="top"/>
          </w:tcPr>
          <w:p w14:paraId="0127952B">
            <w:pPr>
              <w:jc w:val="center"/>
              <w:rPr>
                <w:szCs w:val="21"/>
              </w:rPr>
            </w:pPr>
          </w:p>
        </w:tc>
        <w:tc>
          <w:tcPr>
            <w:tcW w:w="1080" w:type="dxa"/>
            <w:noWrap w:val="0"/>
            <w:vAlign w:val="top"/>
          </w:tcPr>
          <w:p w14:paraId="2B33CBE2">
            <w:pPr>
              <w:jc w:val="center"/>
              <w:rPr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男</w:t>
            </w:r>
          </w:p>
        </w:tc>
        <w:tc>
          <w:tcPr>
            <w:tcW w:w="1260" w:type="dxa"/>
            <w:noWrap w:val="0"/>
            <w:vAlign w:val="top"/>
          </w:tcPr>
          <w:p w14:paraId="38AA300C">
            <w:pPr>
              <w:jc w:val="center"/>
              <w:rPr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2303016</w:t>
            </w:r>
          </w:p>
        </w:tc>
        <w:tc>
          <w:tcPr>
            <w:tcW w:w="1620" w:type="dxa"/>
            <w:noWrap w:val="0"/>
            <w:vAlign w:val="top"/>
          </w:tcPr>
          <w:p w14:paraId="5E32D1C8">
            <w:pPr>
              <w:jc w:val="center"/>
              <w:rPr>
                <w:szCs w:val="21"/>
              </w:rPr>
            </w:pPr>
          </w:p>
        </w:tc>
        <w:tc>
          <w:tcPr>
            <w:tcW w:w="1587" w:type="dxa"/>
            <w:gridSpan w:val="2"/>
            <w:noWrap w:val="0"/>
            <w:vAlign w:val="top"/>
          </w:tcPr>
          <w:p w14:paraId="12DCDFAC">
            <w:pPr>
              <w:jc w:val="center"/>
              <w:rPr>
                <w:szCs w:val="21"/>
              </w:rPr>
            </w:pPr>
          </w:p>
        </w:tc>
      </w:tr>
      <w:tr w14:paraId="3A7E2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468" w:type="dxa"/>
            <w:vMerge w:val="continue"/>
            <w:noWrap w:val="0"/>
            <w:textDirection w:val="tbRlV"/>
            <w:vAlign w:val="top"/>
          </w:tcPr>
          <w:p w14:paraId="0F02BAD4">
            <w:pPr>
              <w:ind w:left="113" w:right="113"/>
              <w:jc w:val="center"/>
            </w:pPr>
          </w:p>
        </w:tc>
        <w:tc>
          <w:tcPr>
            <w:tcW w:w="1260" w:type="dxa"/>
            <w:noWrap w:val="0"/>
            <w:vAlign w:val="top"/>
          </w:tcPr>
          <w:p w14:paraId="0F2B1D77">
            <w:pPr>
              <w:rPr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贾朕</w:t>
            </w:r>
          </w:p>
        </w:tc>
        <w:tc>
          <w:tcPr>
            <w:tcW w:w="1620" w:type="dxa"/>
            <w:noWrap w:val="0"/>
            <w:vAlign w:val="top"/>
          </w:tcPr>
          <w:p w14:paraId="72AD518A">
            <w:pPr>
              <w:jc w:val="center"/>
              <w:rPr>
                <w:szCs w:val="21"/>
              </w:rPr>
            </w:pPr>
          </w:p>
        </w:tc>
        <w:tc>
          <w:tcPr>
            <w:tcW w:w="1080" w:type="dxa"/>
            <w:noWrap w:val="0"/>
            <w:vAlign w:val="top"/>
          </w:tcPr>
          <w:p w14:paraId="4BA70BE9">
            <w:pPr>
              <w:jc w:val="center"/>
              <w:rPr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男</w:t>
            </w:r>
          </w:p>
        </w:tc>
        <w:tc>
          <w:tcPr>
            <w:tcW w:w="1260" w:type="dxa"/>
            <w:noWrap w:val="0"/>
            <w:vAlign w:val="top"/>
          </w:tcPr>
          <w:p w14:paraId="3247EAB4">
            <w:pPr>
              <w:jc w:val="center"/>
              <w:rPr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2303016</w:t>
            </w:r>
          </w:p>
        </w:tc>
        <w:tc>
          <w:tcPr>
            <w:tcW w:w="1620" w:type="dxa"/>
            <w:noWrap w:val="0"/>
            <w:vAlign w:val="top"/>
          </w:tcPr>
          <w:p w14:paraId="56807A15">
            <w:pPr>
              <w:jc w:val="center"/>
              <w:rPr>
                <w:szCs w:val="21"/>
              </w:rPr>
            </w:pPr>
          </w:p>
        </w:tc>
        <w:tc>
          <w:tcPr>
            <w:tcW w:w="1587" w:type="dxa"/>
            <w:gridSpan w:val="2"/>
            <w:noWrap w:val="0"/>
            <w:vAlign w:val="top"/>
          </w:tcPr>
          <w:p w14:paraId="2D37A9F3">
            <w:pPr>
              <w:jc w:val="center"/>
              <w:rPr>
                <w:szCs w:val="21"/>
              </w:rPr>
            </w:pPr>
          </w:p>
        </w:tc>
      </w:tr>
      <w:tr w14:paraId="27964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468" w:type="dxa"/>
            <w:vMerge w:val="continue"/>
            <w:noWrap w:val="0"/>
            <w:textDirection w:val="tbRlV"/>
            <w:vAlign w:val="top"/>
          </w:tcPr>
          <w:p w14:paraId="0877271A">
            <w:pPr>
              <w:ind w:left="113" w:right="113"/>
              <w:jc w:val="center"/>
            </w:pPr>
          </w:p>
        </w:tc>
        <w:tc>
          <w:tcPr>
            <w:tcW w:w="1260" w:type="dxa"/>
            <w:noWrap w:val="0"/>
            <w:vAlign w:val="top"/>
          </w:tcPr>
          <w:p w14:paraId="03A1320B">
            <w:pPr>
              <w:rPr>
                <w:rFonts w:hint="eastAsia"/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宫献睿</w:t>
            </w:r>
          </w:p>
        </w:tc>
        <w:tc>
          <w:tcPr>
            <w:tcW w:w="1620" w:type="dxa"/>
            <w:noWrap w:val="0"/>
            <w:vAlign w:val="top"/>
          </w:tcPr>
          <w:p w14:paraId="783960EF">
            <w:pPr>
              <w:jc w:val="center"/>
              <w:rPr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23009200498</w:t>
            </w:r>
          </w:p>
        </w:tc>
        <w:tc>
          <w:tcPr>
            <w:tcW w:w="1080" w:type="dxa"/>
            <w:noWrap w:val="0"/>
            <w:vAlign w:val="top"/>
          </w:tcPr>
          <w:p w14:paraId="5F14D544">
            <w:pPr>
              <w:jc w:val="center"/>
              <w:rPr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男</w:t>
            </w:r>
          </w:p>
        </w:tc>
        <w:tc>
          <w:tcPr>
            <w:tcW w:w="1260" w:type="dxa"/>
            <w:noWrap w:val="0"/>
            <w:vAlign w:val="top"/>
          </w:tcPr>
          <w:p w14:paraId="02C1108F">
            <w:pPr>
              <w:jc w:val="center"/>
              <w:rPr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2303016</w:t>
            </w:r>
          </w:p>
        </w:tc>
        <w:tc>
          <w:tcPr>
            <w:tcW w:w="1620" w:type="dxa"/>
            <w:noWrap w:val="0"/>
            <w:vAlign w:val="top"/>
          </w:tcPr>
          <w:p w14:paraId="1ADDA9D2">
            <w:pPr>
              <w:jc w:val="center"/>
              <w:rPr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19811795859</w:t>
            </w:r>
          </w:p>
        </w:tc>
        <w:tc>
          <w:tcPr>
            <w:tcW w:w="1587" w:type="dxa"/>
            <w:gridSpan w:val="2"/>
            <w:noWrap w:val="0"/>
            <w:vAlign w:val="top"/>
          </w:tcPr>
          <w:p w14:paraId="274F2405">
            <w:pPr>
              <w:jc w:val="center"/>
              <w:rPr>
                <w:szCs w:val="21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19811795859@163.com</w:t>
            </w:r>
          </w:p>
        </w:tc>
      </w:tr>
      <w:tr w14:paraId="6676B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468" w:type="dxa"/>
            <w:vMerge w:val="restart"/>
            <w:noWrap w:val="0"/>
            <w:textDirection w:val="tbRlV"/>
            <w:vAlign w:val="top"/>
          </w:tcPr>
          <w:p w14:paraId="6B4B4E84">
            <w:pPr>
              <w:ind w:left="113" w:right="1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指导老师</w:t>
            </w:r>
          </w:p>
        </w:tc>
        <w:tc>
          <w:tcPr>
            <w:tcW w:w="1260" w:type="dxa"/>
            <w:noWrap w:val="0"/>
            <w:vAlign w:val="center"/>
          </w:tcPr>
          <w:p w14:paraId="327E4D2E">
            <w:pPr>
              <w:jc w:val="center"/>
            </w:pPr>
            <w:r>
              <w:t>姓名</w:t>
            </w:r>
          </w:p>
        </w:tc>
        <w:tc>
          <w:tcPr>
            <w:tcW w:w="1620" w:type="dxa"/>
            <w:noWrap w:val="0"/>
            <w:vAlign w:val="center"/>
          </w:tcPr>
          <w:p w14:paraId="06E2338B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赵梦婷</w:t>
            </w:r>
          </w:p>
        </w:tc>
        <w:tc>
          <w:tcPr>
            <w:tcW w:w="1080" w:type="dxa"/>
            <w:noWrap w:val="0"/>
            <w:vAlign w:val="center"/>
          </w:tcPr>
          <w:p w14:paraId="15F4860B">
            <w:pPr>
              <w:jc w:val="center"/>
            </w:pPr>
            <w:r>
              <w:t>性别</w:t>
            </w:r>
          </w:p>
        </w:tc>
        <w:tc>
          <w:tcPr>
            <w:tcW w:w="1260" w:type="dxa"/>
            <w:noWrap w:val="0"/>
            <w:vAlign w:val="center"/>
          </w:tcPr>
          <w:p w14:paraId="0BD2FD74">
            <w:pPr>
              <w:jc w:val="center"/>
            </w:pPr>
          </w:p>
        </w:tc>
        <w:tc>
          <w:tcPr>
            <w:tcW w:w="1620" w:type="dxa"/>
            <w:noWrap w:val="0"/>
            <w:vAlign w:val="center"/>
          </w:tcPr>
          <w:p w14:paraId="70DFA1CA">
            <w:pPr>
              <w:jc w:val="center"/>
            </w:pPr>
            <w:r>
              <w:t>职称</w:t>
            </w:r>
          </w:p>
        </w:tc>
        <w:tc>
          <w:tcPr>
            <w:tcW w:w="1587" w:type="dxa"/>
            <w:gridSpan w:val="2"/>
            <w:noWrap w:val="0"/>
            <w:vAlign w:val="center"/>
          </w:tcPr>
          <w:p w14:paraId="781E250A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华山准聘副教授</w:t>
            </w:r>
          </w:p>
        </w:tc>
      </w:tr>
      <w:tr w14:paraId="428D6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</w:trPr>
        <w:tc>
          <w:tcPr>
            <w:tcW w:w="468" w:type="dxa"/>
            <w:vMerge w:val="continue"/>
            <w:noWrap w:val="0"/>
            <w:textDirection w:val="tbRlV"/>
            <w:vAlign w:val="top"/>
          </w:tcPr>
          <w:p w14:paraId="3A7BF6E0">
            <w:pPr>
              <w:ind w:left="113" w:right="113"/>
              <w:jc w:val="center"/>
            </w:pPr>
          </w:p>
        </w:tc>
        <w:tc>
          <w:tcPr>
            <w:tcW w:w="1260" w:type="dxa"/>
            <w:noWrap w:val="0"/>
            <w:vAlign w:val="center"/>
          </w:tcPr>
          <w:p w14:paraId="5AD410A8">
            <w:pPr>
              <w:jc w:val="center"/>
            </w:pPr>
            <w:r>
              <w:t>研究领域</w:t>
            </w:r>
          </w:p>
        </w:tc>
        <w:tc>
          <w:tcPr>
            <w:tcW w:w="1620" w:type="dxa"/>
            <w:noWrap w:val="0"/>
            <w:vAlign w:val="center"/>
          </w:tcPr>
          <w:p w14:paraId="6FBCEEF6">
            <w:pPr>
              <w:jc w:val="center"/>
            </w:pPr>
          </w:p>
        </w:tc>
        <w:tc>
          <w:tcPr>
            <w:tcW w:w="1080" w:type="dxa"/>
            <w:noWrap w:val="0"/>
            <w:vAlign w:val="center"/>
          </w:tcPr>
          <w:p w14:paraId="565F051C">
            <w:pPr>
              <w:jc w:val="center"/>
            </w:pPr>
            <w:r>
              <w:t>所属系</w:t>
            </w:r>
          </w:p>
        </w:tc>
        <w:tc>
          <w:tcPr>
            <w:tcW w:w="1260" w:type="dxa"/>
            <w:noWrap w:val="0"/>
            <w:vAlign w:val="center"/>
          </w:tcPr>
          <w:p w14:paraId="6C166DA4"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计算机科学与技术学院</w:t>
            </w:r>
          </w:p>
        </w:tc>
        <w:tc>
          <w:tcPr>
            <w:tcW w:w="1620" w:type="dxa"/>
            <w:noWrap w:val="0"/>
            <w:vAlign w:val="center"/>
          </w:tcPr>
          <w:p w14:paraId="315E15BF">
            <w:pPr>
              <w:jc w:val="center"/>
            </w:pPr>
            <w:r>
              <w:t>E-mail</w:t>
            </w:r>
          </w:p>
        </w:tc>
        <w:tc>
          <w:tcPr>
            <w:tcW w:w="1587" w:type="dxa"/>
            <w:gridSpan w:val="2"/>
            <w:noWrap w:val="0"/>
            <w:vAlign w:val="center"/>
          </w:tcPr>
          <w:p w14:paraId="0B61A31A">
            <w:pPr>
              <w:jc w:val="center"/>
            </w:pPr>
          </w:p>
        </w:tc>
      </w:tr>
      <w:tr w14:paraId="468D5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8" w:hRule="atLeast"/>
        </w:trPr>
        <w:tc>
          <w:tcPr>
            <w:tcW w:w="8895" w:type="dxa"/>
            <w:gridSpan w:val="8"/>
            <w:noWrap w:val="0"/>
            <w:vAlign w:val="top"/>
          </w:tcPr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/>
                <w:sz w:val="21"/>
              </w:rPr>
              <w:t>一、设计目标与任务</w:t>
            </w:r>
          </w:p>
          <w:p>
            <w:pPr>
              <w:spacing w:before="0" w:after="40" w:line="30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本项目的目标是：基于 B/S 网络架构与事件驱动模型，构建一套“基于大模型的智能疏导仓共情语音交互与状态监测系统”，使系统能够依据用户在疏导仓内的隐性心理状态（情绪、认知负荷）主动发起共情沟通，实现从“冷冰冰的执行器”向“有温度的陪伴者”的跨越。具体任务与要求如下：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1. 多源状态数据接入与可视化：编写后端 WebSocket 服务，同步接收疏导仓内“音视频情绪标签（Positive/Negative）”与“脑电认知负荷等级”两路数据流，并在前端开发实时动态监测大屏。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2. 共情策略与 Prompt 工程：接入开源大模型 API（如智谱 GLM、通义千问等），设计结构化的提示词，将实时接收到的“情绪＋认知”异常状态转化为自然语言的“共情安抚话术”或“心理疏导建议”。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3. 语音交互管线搭建：整合外部的 ASR（语音转文字）与 TTS（文字转语音）服务，开发一条完整的语音交互链路，使系统能以“数字语音助手”的形态与用户进行对话交流。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4. 日志管理与干预记录：开发数据库模块，记录用户在疏导仓内的状态变化曲线及系统的交互干预日志，支持历史数据查询与导出。</w:t>
            </w:r>
          </w:p>
          <w:p>
            <w:pPr>
              <w:spacing w:before="0" w:after="40" w:line="30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工程要求：系统需具备高实时性，WebSocket 数据流推送不卡顿；大模型生成的安抚话术需符合心理疏导逻辑，避免产生无意义的“幻觉”回复；代码结构规范，需提供完整的系统演示 Demo 与规范的工程设计报告。</w:t>
            </w:r>
          </w:p>
        </w:tc>
      </w:tr>
      <w:tr w14:paraId="77CA3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2" w:hRule="atLeast"/>
        </w:trPr>
        <w:tc>
          <w:tcPr>
            <w:tcW w:w="8895" w:type="dxa"/>
            <w:gridSpan w:val="8"/>
            <w:noWrap w:val="0"/>
            <w:vAlign w:val="top"/>
          </w:tcPr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/>
                <w:sz w:val="21"/>
              </w:rPr>
              <w:t>二、主要功能介绍</w:t>
            </w:r>
          </w:p>
          <w:p>
            <w:pPr>
              <w:spacing w:before="0" w:after="40" w:line="30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1. 多源状态实时接入与监测大屏：系统通过 WebSocket 实时接收“音视频情绪标签”与“脑电认知负荷等级”两路状态数据，前端大屏以情绪构成环形图、认知负荷实时曲线、状态时间轴等形式动态展示，并显示推送帧率、在线观察端数量等运行指标；实测推送帧率约 9～10 Hz，长时间运行界面流畅。</w:t>
            </w:r>
          </w:p>
          <w:p>
            <w:pPr>
              <w:spacing w:before="0" w:after="40" w:line="30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2. 异常状态自动判定与共情干预：系统对连续状态进行统计判断，要求连续多帧异常才予以确认，并为同一类提醒设置最小时间间隔，仅在异常稳定出现时才触发干预，避免因数据随机波动而误报；触发后自动生成共情安抚话术，并按严重程度分级处理（轻度状态以陪伴安抚为主，持续高危状态转为专业转介）。</w:t>
            </w:r>
          </w:p>
          <w:p>
            <w:pPr>
              <w:spacing w:before="0" w:after="40" w:line="30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3. 大模型共情话术生成（Prompt 工程）：通过结构化的提示词限定模型的角色定位、内容边界与输出格式，把“情绪＋认知”状态转写为口语化、可直接朗读的安抚话术；支持 DeepSeek、智谱 GLM、通义千问等主流厂商，修改配置文件即可切换。</w:t>
            </w:r>
          </w:p>
          <w:p>
            <w:pPr>
              <w:spacing w:before="0" w:after="40" w:line="30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4. 输出内容安全检查与兜底：对模型返回结果先做格式解析，再校验字段完整性与内容边界，拦截诊断、用药等不应出现的表述；高危状态不交由模型自由发挥，直接使用系统内置的确定性话术；任一环节不通过即降级为规则话术，保证系统不会输出越界内容，也不会因模型故障而失语。</w:t>
            </w:r>
          </w:p>
          <w:p>
            <w:pPr>
              <w:spacing w:before="0" w:after="40" w:line="30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5. 数字语音助手（语音交互）：支持按住说话进行语音对话，完成“录音 → 语音识别 → 结合实时状态生成回应 → 语音合成播报”的双向交流；在未配置付费语音接口时自动使用浏览器自带的朗读功能，保证系统始终能出声。</w:t>
            </w:r>
          </w:p>
          <w:p>
            <w:pPr>
              <w:spacing w:before="0" w:after="40" w:line="30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6. 历史日志查询与导出：记录状态变化曲线（按每秒 1 条汇总）与全部干预记录（含触发原因、生成话术、使用策略、风险等级、生成时延、是否降级等信息），支持按会话与时间范围查询、分页浏览，并可导出 CSV 文件。</w:t>
            </w:r>
          </w:p>
          <w:p>
            <w:pPr>
              <w:spacing w:before="0" w:after="40" w:line="30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7. 演示剧本注入：内置“平静常态 / 焦虑升级 / 情绪恢复 / 高认知负荷”四套剧本，可一键复现“平静 → 异常 → 共情干预 → 状态恢复”的完整闭环，便于演示与测试。</w:t>
            </w:r>
          </w:p>
          <w:p>
            <w:pPr>
              <w:spacing w:before="0" w:after="40" w:line="30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8. 服务状态可视化：页面顶部常驻显示各服务当前使用的是模拟实现还是真实接口，避免“以为调用了真模型、实际在跑模拟数据”的误判。</w:t>
            </w:r>
          </w:p>
        </w:tc>
      </w:tr>
      <w:tr w14:paraId="7922F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7" w:type="dxa"/>
        </w:trPr>
        <w:tc>
          <w:tcPr>
            <w:tcW w:w="8528" w:type="dxa"/>
            <w:gridSpan w:val="7"/>
            <w:noWrap w:val="0"/>
            <w:vAlign w:val="top"/>
          </w:tcPr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/>
                <w:sz w:val="21"/>
              </w:rPr>
              <w:t>三、设计思路与实现方法（可加页）</w:t>
            </w:r>
          </w:p>
          <w:p>
            <w:pPr>
              <w:spacing w:before="0" w:after="40" w:line="30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1. 总体架构：采用浏览器／服务器（B/S）架构与事件驱动模型，整体划分为数据来源、判断与生成、交互三个部分。数据来源部分把两路数据统一为同一种格式，屏蔽来源差异；判断与生成部分负责异常判定与话术生成；交互部分负责文字与语音的双向沟通。</w:t>
            </w:r>
          </w:p>
          <w:p>
            <w:pPr>
              <w:spacing w:before="0" w:after="40" w:line="30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2. 数据接入：以统一的 WebSocket 接口接入外部系统，连接断开后按指数退避自动重连；同时内置模拟数据源用于离线调试与演示，通过配置文件切换，无需改动业务代码。</w:t>
            </w:r>
          </w:p>
          <w:p>
            <w:pPr>
              <w:spacing w:before="0" w:after="40" w:line="30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3. 实时推送：为保证推送不卡顿，每条客户端连接使用独立的发送队列与独立的发送协程，响应慢的客户端只影响自身；队列满时优先丢弃最旧的状态帧，保证最新数据能及时送达；干预提示与语音播报等重要消息单独排队并优先发送。</w:t>
            </w:r>
          </w:p>
          <w:p>
            <w:pPr>
              <w:spacing w:before="0" w:after="40" w:line="30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4. 异常判定：不对每一帧数据都调用大模型，而是先对最近一小段时间内的数据做统计，要求连续多帧异常才予以确认，并为同一类提醒设置最小时间间隔，从而避免随机波动造成的误报和无意义的模型调用。</w:t>
            </w:r>
          </w:p>
          <w:p>
            <w:pPr>
              <w:spacing w:before="0" w:after="40" w:line="30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5. 提示词与内容安全：提示词中明确助手的角色定位、内容边界与输出格式，并要求以固定格式返回；模型返回后先解析、再校验完整性与长度、最后检查是否包含敏感内容，不通过则使用事先准备好的固定话术。</w:t>
            </w:r>
          </w:p>
          <w:p>
            <w:pPr>
              <w:spacing w:before="0" w:after="40" w:line="30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6. 语音交互链路：在一条 WebSocket 通道上采用“二进制音频帧＋文本控制帧”的混合方式完成音频上传与控制指令传输；语音识别与语音合成均设置超时，失败时给出明确提示或退回浏览器朗读。</w:t>
            </w:r>
          </w:p>
          <w:p>
            <w:pPr>
              <w:spacing w:before="0" w:after="40" w:line="30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7. 数据存储：原始状态数据频率较高，全部保存会使数据库迅速变大，因此按每秒 1 条汇总后再保存，既能反映状态变化趋势又能控制数据量；干预记录保存完整的决策上下文，便于问题回溯与答辩举证。</w:t>
            </w:r>
          </w:p>
          <w:p>
            <w:pPr>
              <w:spacing w:before="0" w:after="40" w:line="30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8. 可扩展性：各模块之间只通过统一接口相互调用，具体使用哪家的模型或语音服务在程序启动时统一指定，更换服务或调试问题只需修改配置文件，不必改动业务代码。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/>
                <w:sz w:val="21"/>
              </w:rPr>
              <w:t>四、开发与运行环境</w:t>
            </w:r>
          </w:p>
          <w:p>
            <w:pPr>
              <w:spacing w:before="0" w:after="40" w:line="30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（1）硬件环境：普通 PC（Windows 10 / 11，64 位），无需专用设备；在没有外部情绪识别与脑电设备时，使用系统内置的模拟数据源运行。</w:t>
            </w:r>
          </w:p>
          <w:p>
            <w:pPr>
              <w:spacing w:before="0" w:after="40" w:line="30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（2）开发语言与框架：后端 Python 3.12 + FastAPI + Uvicorn，原生 WebSocket；前端 Node.js 18+ + Vue 3 + TypeScript + Vite，图表库 ECharts。</w:t>
            </w:r>
          </w:p>
          <w:p>
            <w:pPr>
              <w:spacing w:before="0" w:after="40" w:line="30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（3）数据存储：SQLite 数据库（SQLAlchemy 2.0 异步 ORM）。</w:t>
            </w:r>
          </w:p>
          <w:p>
            <w:pPr>
              <w:spacing w:before="0" w:after="40" w:line="30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（4）第三方服务：大模型采用 OpenAI 兼容接口（可选 DeepSeek、智谱 GLM、通义千问等）；语音识别采用 Whisper 兼容接口；语音合成采用 edge-tts；未配置密钥时自动使用内置模拟实现。</w:t>
            </w:r>
          </w:p>
          <w:p>
            <w:pPr>
              <w:spacing w:before="0" w:after="40" w:line="30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（5）运行方式：后端执行 python -m uvicorn app.main:app --port 8000；前端执行 npm install 后 npm run dev；浏览器访问 http://127.0.0.1:5173 即可。</w:t>
            </w:r>
          </w:p>
          <w:p>
            <w:pPr>
              <w:spacing w:before="0" w:after="40" w:line="30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（6）开发工具：Visual Studio Code、Git。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/>
                <w:sz w:val="21"/>
              </w:rPr>
              <w:t>五、软件截图</w:t>
            </w:r>
          </w:p>
          <w:p>
            <w:pPr>
              <w:spacing w:before="0" w:after="40" w:line="300" w:lineRule="auto"/>
              <w:ind w:firstLine="420"/>
            </w:pPr>
            <w:r>
              <w:rPr>
                <w:rFonts w:ascii="宋体" w:hAnsi="宋体" w:eastAsia="宋体"/>
                <w:b/>
                <w:sz w:val="21"/>
              </w:rPr>
              <w:t>（此处插入系统实际运行截图，建议包含以下 5 张）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1. 实时监测大屏整体界面：情绪构成、认知负荷实时曲线、状态时间轴、干预记录与顶部服务状态徽标；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2. 共情干预效果：注入“焦虑升级”剧本后弹出的共情话术卡片；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3. 语音对话面板：按住说话与文字输入、语音识别结果；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4. 历史日志页：会话列表、状态曲线采样点与干预记录；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5. 数据导出结果：导出的 states.csv 与 interventions.csv 文件内容。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/>
                <w:sz w:val="21"/>
              </w:rPr>
              <w:t>六、总结与说明</w:t>
            </w:r>
          </w:p>
          <w:p>
            <w:pPr>
              <w:spacing w:before="0" w:after="40" w:line="30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本项目围绕“多源状态实时接入 → 异常状态判定 → 大模型共情话术生成 → 内容安全检查 → 语音播报 → 数据落库与查询导出”的完整链路进行了设计与实现，完成了任务书提出的四项任务与工程要求：一是实现了基于 WebSocket 的两路状态数据实时接入与前端动态监测大屏，推送帧率稳定、界面流畅；二是接入了大模型并完成提示词设计，实现了由异常状态自动触发的共情安抚话术生成；三是打通了语音识别与语音合成的完整交互链路，系统可以“数字语音助手”的形态与用户对话；四是完成了状态变化曲线与干预日志的记录，支持历史查询与导出。系统在未配置任何付费接口的情况下即可完整演示全流程，配置密钥后即可切换到真实的大模型与语音服务。</w:t>
            </w:r>
          </w:p>
          <w:p>
            <w:pPr>
              <w:spacing w:before="0" w:after="40" w:line="300" w:lineRule="auto"/>
            </w:pPr>
            <w:r>
              <w:rPr>
                <w:rFonts w:ascii="宋体" w:hAnsi="宋体" w:eastAsia="宋体"/>
                <w:b/>
                <w:sz w:val="21"/>
              </w:rPr>
              <w:t>不足与改进方向：</w:t>
            </w:r>
          </w:p>
          <w:p>
            <w:pPr>
              <w:spacing w:before="0" w:after="40" w:line="30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1. 受真实情绪识别与脑电设备接口尚未开放的限制，当前主要以模拟数据验证功能，后续可对接真实设备进一步验证；</w:t>
            </w:r>
          </w:p>
          <w:p>
            <w:pPr>
              <w:spacing w:before="0" w:after="40" w:line="30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2. 大模型生成时延为秒级，目前通过占位提示缓解等待感，后续可考虑改用流式输出进一步改善体验；</w:t>
            </w:r>
          </w:p>
          <w:p>
            <w:pPr>
              <w:spacing w:before="0" w:after="40" w:line="30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3. 系统面向单机演示与内网试用，未实现用户鉴权，如需对外提供服务还需补充权限与安全机制。</w:t>
            </w:r>
          </w:p>
          <w:p>
            <w:pPr>
              <w:spacing w:before="0" w:after="40" w:line="300" w:lineRule="auto"/>
              <w:ind w:firstLine="420"/>
            </w:pPr>
            <w:r>
              <w:rPr>
                <w:rFonts w:ascii="宋体" w:hAnsi="宋体" w:eastAsia="宋体"/>
                <w:b w:val="0"/>
                <w:sz w:val="21"/>
              </w:rPr>
              <w:t>通过本次综合工程设计，小组成员在 WebSocket 实时通信、前后端分离开发、大模型接口调用与提示词设计、语音服务对接、异步编程与数据库设计等方面得到了较为完整的工程训练，也加深了对“网络通信＋人工智能”结合类系统的理解。</w:t>
            </w:r>
          </w:p>
        </w:tc>
      </w:tr>
    </w:tbl>
    <w:p w14:paraId="0930571F">
      <w:pPr>
        <w:jc w:val="left"/>
      </w:pPr>
    </w:p>
    <w:sectPr>
      <w:headerReference r:id="rId3" w:type="default"/>
      <w:footerReference r:id="rId4" w:type="default"/>
      <w:footerReference r:id="rId5" w:type="even"/>
      <w:pgSz w:w="11906" w:h="16838"/>
      <w:pgMar w:top="1440" w:right="1797" w:bottom="1440" w:left="1797" w:header="851" w:footer="992" w:gutter="0"/>
      <w:pgNumType w:start="0"/>
      <w:cols w:space="720" w:num="1"/>
      <w:titlePg/>
      <w:docGrid w:type="lines" w:linePitch="39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BD4EA1">
    <w:pPr>
      <w:pStyle w:val="2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</w:rPr>
      <w:t>1</w:t>
    </w:r>
    <w:r>
      <w:rPr>
        <w:rStyle w:val="7"/>
      </w:rPr>
      <w:fldChar w:fldCharType="end"/>
    </w:r>
  </w:p>
  <w:p w14:paraId="473E11A0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3B71C4">
    <w:pPr>
      <w:pStyle w:val="2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 w14:paraId="0BBB35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259EE7">
    <w:pPr>
      <w:pStyle w:val="3"/>
    </w:pPr>
    <w:r>
      <w:rPr>
        <w:rFonts w:hint="eastAsia"/>
      </w:rPr>
      <w:t>西安电子科技大学计算机科学与技术学院综合工程设计报告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Q2NTcxMzRkNTZlNWU1MTg4ZDFmMmM2MTUzODRlMDcifQ=="/>
  </w:docVars>
  <w:rsids>
    <w:rsidRoot w:val="00B47829"/>
    <w:rsid w:val="00482FDB"/>
    <w:rsid w:val="005A59F3"/>
    <w:rsid w:val="00705D08"/>
    <w:rsid w:val="008A42FA"/>
    <w:rsid w:val="008D3CDE"/>
    <w:rsid w:val="00B47829"/>
    <w:rsid w:val="00BE089B"/>
    <w:rsid w:val="05411248"/>
    <w:rsid w:val="0C6E5B92"/>
    <w:rsid w:val="12CC1C47"/>
    <w:rsid w:val="2C3B74EA"/>
    <w:rsid w:val="59730C9E"/>
    <w:rsid w:val="5EA12441"/>
    <w:rsid w:val="714F4D43"/>
    <w:rsid w:val="77775173"/>
    <w:rsid w:val="7D7B60E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page number"/>
    <w:basedOn w:val="6"/>
    <w:qFormat/>
    <w:uiPriority w:val="0"/>
  </w:style>
  <w:style w:type="character" w:customStyle="1" w:styleId="8">
    <w:name w:val="apple-converted-space"/>
    <w:basedOn w:val="6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微软中国</Company>
  <Pages>7</Pages>
  <Words>168</Words>
  <Characters>188</Characters>
  <Lines>4</Lines>
  <Paragraphs>1</Paragraphs>
  <TotalTime>2</TotalTime>
  <ScaleCrop>false</ScaleCrop>
  <LinksUpToDate>false</LinksUpToDate>
  <CharactersWithSpaces>383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2013-01-05T05:48:00Z</dcterms:created>
  <dc:creator>微软用户</dc:creator>
  <cp:lastModifiedBy>quantium</cp:lastModifiedBy>
  <dcterms:modified xsi:type="dcterms:W3CDTF">2026-09-19T03:33:08Z</dcterms:modified>
  <dc:title>西安电子科技大学</dc:title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9924E98CF448420084F080498CCFA278_13</vt:lpwstr>
  </property>
  <property fmtid="{D5CDD505-2E9C-101B-9397-08002B2CF9AE}" pid="4" name="KSOTemplateDocerSaveRecord">
    <vt:lpwstr>eyJoZGlkIjoiZTRkMDFlMTg5Y2U1OGYxNWE0Y2Q5MDYxZjQ2NmQyMDIiLCJ1c2VySWQiOiI4MjIxMTc3In0=</vt:lpwstr>
  </property>
</Properties>
</file>