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ackground w:color="FFFFFF"/>
  <w:body>
    <w:p w14:paraId="153DFA67">
      <w:pPr>
        <w:rPr>
          <w:rFonts w:eastAsia="黑体"/>
          <w:b/>
          <w:color w:val="000000"/>
          <w:sz w:val="44"/>
          <w:szCs w:val="44"/>
        </w:rPr>
      </w:pPr>
    </w:p>
    <w:p w14:paraId="12B6C3A8">
      <w:pPr>
        <w:jc w:val="center"/>
        <w:rPr>
          <w:rFonts w:eastAsia="黑体"/>
          <w:b/>
          <w:color w:val="000000"/>
          <w:sz w:val="44"/>
          <w:szCs w:val="44"/>
        </w:rPr>
      </w:pPr>
      <w:r>
        <w:rPr>
          <w:rFonts w:eastAsia="黑体"/>
          <w:b/>
          <w:color w:val="000000"/>
          <w:sz w:val="44"/>
          <w:szCs w:val="44"/>
        </w:rPr>
        <w:drawing>
          <wp:inline distT="0" distB="0" distL="114300" distR="114300">
            <wp:extent cx="4029075" cy="753110"/>
            <wp:effectExtent l="0" t="0" r="9525" b="8890"/>
            <wp:docPr id="1" name="图片 1" descr="西电科大背景透明LOGO-标准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西电科大背景透明LOGO-标准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029075" cy="753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3783CF">
      <w:pPr>
        <w:jc w:val="center"/>
        <w:rPr>
          <w:rFonts w:eastAsia="黑体"/>
          <w:b/>
          <w:color w:val="000000"/>
          <w:sz w:val="44"/>
          <w:szCs w:val="44"/>
        </w:rPr>
      </w:pPr>
    </w:p>
    <w:p w14:paraId="19718D3F">
      <w:pPr>
        <w:jc w:val="center"/>
        <w:rPr>
          <w:rFonts w:eastAsia="黑体"/>
          <w:b/>
          <w:color w:val="000000"/>
          <w:sz w:val="44"/>
          <w:szCs w:val="44"/>
        </w:rPr>
      </w:pPr>
      <w:r>
        <w:rPr>
          <w:rFonts w:hint="eastAsia" w:eastAsia="黑体"/>
          <w:b/>
          <w:color w:val="000000"/>
          <w:sz w:val="44"/>
          <w:szCs w:val="44"/>
        </w:rPr>
        <w:t>计算机科学与技术学院</w:t>
      </w:r>
    </w:p>
    <w:p w14:paraId="2BB6D4AC">
      <w:pPr>
        <w:spacing w:line="900" w:lineRule="exact"/>
        <w:jc w:val="center"/>
        <w:rPr>
          <w:rFonts w:eastAsia="黑体"/>
          <w:b/>
          <w:color w:val="000000"/>
          <w:sz w:val="44"/>
          <w:szCs w:val="44"/>
        </w:rPr>
      </w:pPr>
      <w:r>
        <w:rPr>
          <w:rFonts w:hint="eastAsia" w:eastAsia="黑体"/>
          <w:b/>
          <w:color w:val="000000"/>
          <w:sz w:val="44"/>
          <w:szCs w:val="44"/>
        </w:rPr>
        <w:t>网络</w:t>
      </w:r>
      <w:r>
        <w:rPr>
          <w:rFonts w:eastAsia="黑体"/>
          <w:b/>
          <w:color w:val="000000"/>
          <w:sz w:val="44"/>
          <w:szCs w:val="44"/>
        </w:rPr>
        <w:t>综合工程设计报告</w:t>
      </w:r>
    </w:p>
    <w:p w14:paraId="460A22EF">
      <w:pPr>
        <w:spacing w:line="900" w:lineRule="exact"/>
        <w:ind w:firstLine="1200" w:firstLineChars="400"/>
        <w:rPr>
          <w:rFonts w:eastAsia="仿宋"/>
          <w:color w:val="000000"/>
          <w:sz w:val="30"/>
          <w:szCs w:val="30"/>
        </w:rPr>
      </w:pPr>
    </w:p>
    <w:p w14:paraId="3F991DA9">
      <w:pPr>
        <w:spacing w:line="900" w:lineRule="exact"/>
        <w:ind w:firstLine="1205" w:firstLineChars="400"/>
        <w:rPr>
          <w:rFonts w:eastAsia="仿宋"/>
          <w:b/>
          <w:color w:val="000000"/>
          <w:sz w:val="30"/>
          <w:szCs w:val="30"/>
        </w:rPr>
      </w:pPr>
      <w:r>
        <w:rPr>
          <w:rFonts w:eastAsia="仿宋"/>
          <w:b/>
          <w:color w:val="000000"/>
          <w:sz w:val="30"/>
          <w:szCs w:val="30"/>
        </w:rPr>
        <w:t>题     目：</w:t>
      </w:r>
      <w:r>
        <w:rPr>
          <w:rFonts w:eastAsia="仿宋"/>
          <w:b/>
          <w:color w:val="000000"/>
          <w:sz w:val="30"/>
          <w:szCs w:val="30"/>
          <w:u w:val="single"/>
        </w:rPr>
        <w:t xml:space="preserve">                               </w:t>
      </w:r>
      <w:r>
        <w:rPr>
          <w:rFonts w:ascii="宋体" w:hAnsi="宋体" w:eastAsia="宋体"/>
          <w:b w:val="0"/>
          <w:sz w:val="30"/>
        </w:rPr>
        <w:t>基于大模型的智能疏导仓共情语音交互与状态监测系统</w:t>
      </w:r>
    </w:p>
    <w:p w14:paraId="3F3AD38F">
      <w:pPr>
        <w:spacing w:line="900" w:lineRule="exact"/>
        <w:ind w:firstLine="1205" w:firstLineChars="400"/>
        <w:rPr>
          <w:rFonts w:eastAsia="仿宋"/>
          <w:b/>
          <w:color w:val="000000"/>
          <w:sz w:val="30"/>
          <w:szCs w:val="30"/>
          <w:u w:val="single"/>
        </w:rPr>
      </w:pPr>
      <w:r>
        <w:rPr>
          <w:rFonts w:eastAsia="仿宋"/>
          <w:b/>
          <w:color w:val="000000"/>
          <w:sz w:val="30"/>
          <w:szCs w:val="30"/>
        </w:rPr>
        <w:t>负  责 人：</w:t>
      </w:r>
      <w:r>
        <w:rPr>
          <w:rFonts w:eastAsia="仿宋"/>
          <w:color w:val="000000"/>
          <w:sz w:val="30"/>
          <w:szCs w:val="30"/>
          <w:u w:val="single"/>
        </w:rPr>
        <w:t xml:space="preserve">                               </w:t>
      </w:r>
      <w:r>
        <w:rPr>
          <w:rFonts w:ascii="宋体" w:hAnsi="宋体" w:eastAsia="宋体"/>
          <w:b w:val="0"/>
          <w:sz w:val="30"/>
        </w:rPr>
        <w:t>赵阳</w:t>
      </w:r>
    </w:p>
    <w:p w14:paraId="5F313541">
      <w:pPr>
        <w:spacing w:line="900" w:lineRule="exact"/>
        <w:ind w:firstLine="1205" w:firstLineChars="400"/>
        <w:rPr>
          <w:rFonts w:eastAsia="仿宋"/>
          <w:b/>
          <w:color w:val="000000"/>
          <w:sz w:val="30"/>
          <w:szCs w:val="30"/>
        </w:rPr>
      </w:pPr>
      <w:r>
        <w:rPr>
          <w:rFonts w:eastAsia="仿宋"/>
          <w:b/>
          <w:color w:val="000000"/>
          <w:sz w:val="30"/>
          <w:szCs w:val="30"/>
        </w:rPr>
        <w:t>学     号：</w:t>
      </w:r>
      <w:r>
        <w:rPr>
          <w:rFonts w:eastAsia="仿宋"/>
          <w:color w:val="000000"/>
          <w:sz w:val="30"/>
          <w:szCs w:val="30"/>
          <w:u w:val="single"/>
        </w:rPr>
        <w:t xml:space="preserve">                               </w:t>
      </w:r>
    </w:p>
    <w:p w14:paraId="45406E12">
      <w:pPr>
        <w:spacing w:line="900" w:lineRule="exact"/>
        <w:ind w:firstLine="1205" w:firstLineChars="400"/>
        <w:rPr>
          <w:rFonts w:eastAsia="仿宋"/>
          <w:b/>
          <w:color w:val="000000"/>
          <w:sz w:val="30"/>
          <w:szCs w:val="30"/>
        </w:rPr>
      </w:pPr>
      <w:r>
        <w:rPr>
          <w:rFonts w:eastAsia="仿宋"/>
          <w:b/>
          <w:color w:val="000000"/>
          <w:sz w:val="30"/>
          <w:szCs w:val="30"/>
        </w:rPr>
        <w:t>专     业：</w:t>
      </w:r>
      <w:r>
        <w:rPr>
          <w:rFonts w:eastAsia="仿宋"/>
          <w:color w:val="000000"/>
          <w:sz w:val="30"/>
          <w:szCs w:val="30"/>
          <w:u w:val="single"/>
        </w:rPr>
        <w:t xml:space="preserve">                               </w:t>
      </w:r>
      <w:r>
        <w:rPr>
          <w:rFonts w:ascii="宋体" w:hAnsi="宋体" w:eastAsia="宋体"/>
          <w:b w:val="0"/>
          <w:sz w:val="30"/>
        </w:rPr>
        <w:t>计算机科学与技术</w:t>
      </w:r>
    </w:p>
    <w:p w14:paraId="184C3E24">
      <w:pPr>
        <w:spacing w:line="900" w:lineRule="exact"/>
        <w:ind w:firstLine="1205" w:firstLineChars="400"/>
        <w:rPr>
          <w:rFonts w:eastAsia="仿宋"/>
          <w:b/>
          <w:color w:val="000000"/>
          <w:sz w:val="30"/>
          <w:szCs w:val="30"/>
          <w:u w:val="single"/>
        </w:rPr>
      </w:pPr>
      <w:r>
        <w:rPr>
          <w:rFonts w:eastAsia="仿宋"/>
          <w:b/>
          <w:color w:val="000000"/>
          <w:sz w:val="30"/>
          <w:szCs w:val="30"/>
        </w:rPr>
        <w:t>指导老师：</w:t>
      </w:r>
      <w:r>
        <w:rPr>
          <w:rFonts w:eastAsia="仿宋"/>
          <w:color w:val="000000"/>
          <w:sz w:val="30"/>
          <w:szCs w:val="30"/>
          <w:u w:val="single"/>
        </w:rPr>
        <w:t xml:space="preserve">                               </w:t>
      </w:r>
      <w:r>
        <w:rPr>
          <w:rFonts w:ascii="宋体" w:hAnsi="宋体" w:eastAsia="宋体"/>
          <w:b w:val="0"/>
          <w:sz w:val="30"/>
        </w:rPr>
        <w:t>赵梦婷</w:t>
      </w:r>
    </w:p>
    <w:p w14:paraId="1E7F254F">
      <w:pPr>
        <w:spacing w:line="900" w:lineRule="exact"/>
        <w:ind w:firstLine="1205" w:firstLineChars="400"/>
        <w:rPr>
          <w:rFonts w:eastAsia="仿宋"/>
          <w:b/>
          <w:color w:val="000000"/>
          <w:sz w:val="30"/>
          <w:szCs w:val="30"/>
        </w:rPr>
      </w:pPr>
      <w:r>
        <w:rPr>
          <w:rFonts w:ascii="宋体" w:hAnsi="宋体" w:eastAsia="宋体"/>
          <w:b/>
          <w:sz w:val="30"/>
        </w:rPr>
        <w:t>起止时间： 2026 年 9 月 至  2027 年 1 月</w:t>
      </w:r>
    </w:p>
    <w:p w14:paraId="03BFF999">
      <w:pPr>
        <w:ind w:firstLine="1807" w:firstLineChars="600"/>
        <w:rPr>
          <w:rFonts w:eastAsia="仿宋"/>
          <w:b/>
          <w:color w:val="000000"/>
          <w:sz w:val="30"/>
          <w:szCs w:val="30"/>
          <w:u w:val="single"/>
        </w:rPr>
      </w:pPr>
    </w:p>
    <w:p w14:paraId="1012EDC4">
      <w:pPr>
        <w:jc w:val="center"/>
        <w:rPr>
          <w:rFonts w:hint="eastAsia" w:eastAsia="仿宋"/>
          <w:b/>
          <w:color w:val="000000"/>
          <w:sz w:val="30"/>
          <w:szCs w:val="30"/>
          <w:lang w:val="en-US" w:eastAsia="zh-CN"/>
        </w:rPr>
      </w:pPr>
    </w:p>
    <w:p w14:paraId="798FAA9D">
      <w:pPr>
        <w:jc w:val="center"/>
        <w:rPr>
          <w:rFonts w:eastAsia="仿宋"/>
          <w:b/>
          <w:color w:val="000000"/>
          <w:sz w:val="30"/>
          <w:szCs w:val="30"/>
        </w:rPr>
      </w:pPr>
    </w:p>
    <w:p w14:paraId="26CA35C9">
      <w:pPr>
        <w:spacing w:line="360" w:lineRule="auto"/>
        <w:jc w:val="center"/>
        <w:rPr>
          <w:rFonts w:eastAsia="仿宋"/>
          <w:b/>
          <w:color w:val="000000"/>
          <w:sz w:val="30"/>
          <w:szCs w:val="30"/>
        </w:rPr>
      </w:pPr>
      <w:r>
        <w:rPr>
          <w:rFonts w:eastAsia="仿宋"/>
          <w:b/>
          <w:color w:val="000000"/>
          <w:sz w:val="30"/>
          <w:szCs w:val="30"/>
        </w:rPr>
        <w:t xml:space="preserve">   </w:t>
      </w:r>
      <w:r>
        <w:rPr>
          <w:rFonts w:hint="eastAsia" w:eastAsia="仿宋"/>
          <w:b/>
          <w:color w:val="000000"/>
          <w:sz w:val="30"/>
          <w:szCs w:val="30"/>
        </w:rPr>
        <w:t>计算机科学与技术学院</w:t>
      </w:r>
      <w:r>
        <w:rPr>
          <w:rFonts w:eastAsia="仿宋"/>
          <w:b/>
          <w:color w:val="000000"/>
          <w:sz w:val="30"/>
          <w:szCs w:val="30"/>
        </w:rPr>
        <w:t xml:space="preserve"> 网络工程系</w:t>
      </w:r>
    </w:p>
    <w:p w14:paraId="113B965E">
      <w:pPr>
        <w:spacing w:line="360" w:lineRule="auto"/>
        <w:ind w:firstLine="3463" w:firstLineChars="1150"/>
        <w:rPr>
          <w:b/>
          <w:color w:val="000000"/>
          <w:sz w:val="30"/>
          <w:szCs w:val="30"/>
        </w:rPr>
      </w:pPr>
      <w:r>
        <w:rPr>
          <w:b/>
          <w:color w:val="000000"/>
          <w:sz w:val="30"/>
          <w:szCs w:val="30"/>
        </w:rPr>
        <w:t>202</w:t>
      </w:r>
      <w:r>
        <w:rPr>
          <w:rFonts w:hint="eastAsia"/>
          <w:b/>
          <w:color w:val="000000"/>
          <w:sz w:val="30"/>
          <w:szCs w:val="30"/>
          <w:lang w:val="en-US" w:eastAsia="zh-CN"/>
        </w:rPr>
        <w:t>6</w:t>
      </w:r>
      <w:r>
        <w:rPr>
          <w:rFonts w:hAnsi="宋体"/>
          <w:b/>
          <w:color w:val="000000"/>
          <w:sz w:val="30"/>
          <w:szCs w:val="30"/>
        </w:rPr>
        <w:t>年</w:t>
      </w:r>
      <w:r>
        <w:rPr>
          <w:b/>
          <w:color w:val="000000"/>
          <w:sz w:val="30"/>
          <w:szCs w:val="30"/>
        </w:rPr>
        <w:t>9</w:t>
      </w:r>
      <w:r>
        <w:rPr>
          <w:rFonts w:hAnsi="宋体"/>
          <w:b/>
          <w:color w:val="000000"/>
          <w:sz w:val="30"/>
          <w:szCs w:val="30"/>
        </w:rPr>
        <w:t>月</w:t>
      </w:r>
      <w:r>
        <w:rPr>
          <w:b/>
          <w:color w:val="000000"/>
          <w:sz w:val="30"/>
          <w:szCs w:val="30"/>
        </w:rPr>
        <w:t xml:space="preserve"> </w:t>
      </w:r>
    </w:p>
    <w:p w14:paraId="623EE117">
      <w:pPr>
        <w:spacing w:line="360" w:lineRule="auto"/>
        <w:ind w:firstLine="3162" w:firstLineChars="1050"/>
        <w:rPr>
          <w:rFonts w:eastAsia="仿宋"/>
          <w:b/>
          <w:color w:val="000000"/>
          <w:sz w:val="30"/>
          <w:szCs w:val="30"/>
        </w:rPr>
      </w:pPr>
    </w:p>
    <w:p w14:paraId="722B19E7">
      <w:pPr>
        <w:rPr>
          <w:rFonts w:eastAsia="仿宋"/>
          <w:b/>
          <w:color w:val="000000"/>
          <w:sz w:val="30"/>
          <w:szCs w:val="30"/>
        </w:rPr>
      </w:pPr>
    </w:p>
    <w:tbl>
      <w:tblPr>
        <w:tblStyle w:val="4"/>
        <w:tblW w:w="8895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8"/>
        <w:gridCol w:w="1260"/>
        <w:gridCol w:w="1620"/>
        <w:gridCol w:w="1080"/>
        <w:gridCol w:w="1260"/>
        <w:gridCol w:w="1620"/>
        <w:gridCol w:w="1220"/>
        <w:gridCol w:w="367"/>
      </w:tblGrid>
      <w:tr w14:paraId="3A70FE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5" w:hRule="atLeast"/>
        </w:trPr>
        <w:tc>
          <w:tcPr>
            <w:tcW w:w="3348" w:type="dxa"/>
            <w:gridSpan w:val="3"/>
            <w:noWrap w:val="0"/>
            <w:vAlign w:val="center"/>
          </w:tcPr>
          <w:p w14:paraId="7AC14A6F">
            <w:pPr>
              <w:jc w:val="center"/>
              <w:rPr>
                <w:sz w:val="24"/>
              </w:rPr>
            </w:pPr>
            <w:bookmarkStart w:id="0" w:name="_GoBack"/>
            <w:bookmarkEnd w:id="0"/>
            <w:r>
              <w:rPr>
                <w:sz w:val="24"/>
              </w:rPr>
              <w:t>题</w:t>
            </w:r>
            <w:r>
              <w:rPr>
                <w:rFonts w:hint="eastAsia"/>
                <w:sz w:val="24"/>
              </w:rPr>
              <w:t xml:space="preserve"> </w:t>
            </w:r>
            <w:r>
              <w:rPr>
                <w:sz w:val="24"/>
              </w:rPr>
              <w:t>目</w:t>
            </w:r>
          </w:p>
        </w:tc>
        <w:tc>
          <w:tcPr>
            <w:tcW w:w="5547" w:type="dxa"/>
            <w:gridSpan w:val="5"/>
            <w:noWrap w:val="0"/>
            <w:vAlign w:val="top"/>
          </w:tcPr>
          <w:p w14:paraId="5C0A5F7D">
            <w:pPr>
              <w:spacing w:line="360" w:lineRule="auto"/>
              <w:jc w:val="center"/>
              <w:rPr>
                <w:color w:val="FF0000"/>
                <w:sz w:val="28"/>
                <w:szCs w:val="28"/>
              </w:rPr>
            </w:pPr>
            <w:r>
              <w:rPr>
                <w:rFonts w:ascii="宋体" w:hAnsi="宋体" w:eastAsia="宋体"/>
                <w:b/>
                <w:sz w:val="24"/>
              </w:rPr>
              <w:t>基于大模型的智能疏导仓共情语音交互与状态监测系统</w:t>
            </w:r>
          </w:p>
        </w:tc>
      </w:tr>
      <w:tr w14:paraId="648026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5" w:hRule="atLeast"/>
        </w:trPr>
        <w:tc>
          <w:tcPr>
            <w:tcW w:w="468" w:type="dxa"/>
            <w:vMerge w:val="restart"/>
            <w:noWrap w:val="0"/>
            <w:textDirection w:val="tbRlV"/>
            <w:vAlign w:val="top"/>
          </w:tcPr>
          <w:p w14:paraId="3262F0F8">
            <w:pPr>
              <w:ind w:left="113" w:right="113"/>
              <w:jc w:val="center"/>
            </w:pPr>
            <w:r>
              <w:rPr>
                <w:rFonts w:hint="eastAsia"/>
              </w:rPr>
              <w:t>完成人</w:t>
            </w:r>
            <w:r>
              <w:t>(小组)</w:t>
            </w:r>
          </w:p>
        </w:tc>
        <w:tc>
          <w:tcPr>
            <w:tcW w:w="1260" w:type="dxa"/>
            <w:noWrap w:val="0"/>
            <w:vAlign w:val="top"/>
          </w:tcPr>
          <w:p w14:paraId="5988B600">
            <w:pPr>
              <w:jc w:val="center"/>
            </w:pPr>
            <w:r>
              <w:t>姓名</w:t>
            </w:r>
          </w:p>
        </w:tc>
        <w:tc>
          <w:tcPr>
            <w:tcW w:w="1620" w:type="dxa"/>
            <w:noWrap w:val="0"/>
            <w:vAlign w:val="top"/>
          </w:tcPr>
          <w:p w14:paraId="0FB91B32">
            <w:pPr>
              <w:adjustRightInd w:val="0"/>
              <w:snapToGrid w:val="0"/>
              <w:jc w:val="center"/>
            </w:pPr>
            <w:r>
              <w:t>学号</w:t>
            </w:r>
          </w:p>
        </w:tc>
        <w:tc>
          <w:tcPr>
            <w:tcW w:w="1080" w:type="dxa"/>
            <w:noWrap w:val="0"/>
            <w:vAlign w:val="top"/>
          </w:tcPr>
          <w:p w14:paraId="0D20C3EB">
            <w:pPr>
              <w:adjustRightInd w:val="0"/>
              <w:snapToGrid w:val="0"/>
              <w:jc w:val="center"/>
            </w:pPr>
            <w:r>
              <w:t>性别</w:t>
            </w:r>
          </w:p>
        </w:tc>
        <w:tc>
          <w:tcPr>
            <w:tcW w:w="1260" w:type="dxa"/>
            <w:noWrap w:val="0"/>
            <w:vAlign w:val="top"/>
          </w:tcPr>
          <w:p w14:paraId="5E025AD7">
            <w:pPr>
              <w:adjustRightInd w:val="0"/>
              <w:snapToGrid w:val="0"/>
              <w:jc w:val="center"/>
            </w:pPr>
            <w:r>
              <w:t>专业班级</w:t>
            </w:r>
          </w:p>
        </w:tc>
        <w:tc>
          <w:tcPr>
            <w:tcW w:w="1620" w:type="dxa"/>
            <w:noWrap w:val="0"/>
            <w:vAlign w:val="top"/>
          </w:tcPr>
          <w:p w14:paraId="3253C903">
            <w:pPr>
              <w:adjustRightInd w:val="0"/>
              <w:snapToGrid w:val="0"/>
              <w:jc w:val="center"/>
            </w:pPr>
            <w:r>
              <w:t>手机</w:t>
            </w:r>
          </w:p>
        </w:tc>
        <w:tc>
          <w:tcPr>
            <w:tcW w:w="1587" w:type="dxa"/>
            <w:gridSpan w:val="2"/>
            <w:noWrap w:val="0"/>
            <w:vAlign w:val="top"/>
          </w:tcPr>
          <w:p w14:paraId="0C2A0F4A">
            <w:pPr>
              <w:adjustRightInd w:val="0"/>
              <w:snapToGrid w:val="0"/>
              <w:jc w:val="center"/>
            </w:pPr>
            <w:r>
              <w:t>E-mail</w:t>
            </w:r>
          </w:p>
        </w:tc>
      </w:tr>
      <w:tr w14:paraId="05BB53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5" w:hRule="atLeast"/>
        </w:trPr>
        <w:tc>
          <w:tcPr>
            <w:tcW w:w="468" w:type="dxa"/>
            <w:vMerge w:val="continue"/>
            <w:noWrap w:val="0"/>
            <w:textDirection w:val="tbRlV"/>
            <w:vAlign w:val="top"/>
          </w:tcPr>
          <w:p w14:paraId="5C8D74EA">
            <w:pPr>
              <w:ind w:left="113" w:right="113"/>
              <w:jc w:val="center"/>
            </w:pPr>
          </w:p>
        </w:tc>
        <w:tc>
          <w:tcPr>
            <w:tcW w:w="1260" w:type="dxa"/>
            <w:noWrap w:val="0"/>
            <w:vAlign w:val="top"/>
          </w:tcPr>
          <w:p w14:paraId="0962FB3E">
            <w:pPr>
              <w:rPr>
                <w:szCs w:val="21"/>
              </w:rPr>
            </w:pPr>
            <w:r>
              <w:rPr>
                <w:rFonts w:ascii="宋体" w:hAnsi="宋体" w:eastAsia="宋体"/>
                <w:b w:val="0"/>
                <w:sz w:val="21"/>
              </w:rPr>
              <w:t>赵阳</w:t>
            </w:r>
          </w:p>
        </w:tc>
        <w:tc>
          <w:tcPr>
            <w:tcW w:w="1620" w:type="dxa"/>
            <w:noWrap w:val="0"/>
            <w:vAlign w:val="top"/>
          </w:tcPr>
          <w:p w14:paraId="0127952B">
            <w:pPr>
              <w:jc w:val="center"/>
              <w:rPr>
                <w:szCs w:val="21"/>
              </w:rPr>
            </w:pPr>
          </w:p>
        </w:tc>
        <w:tc>
          <w:tcPr>
            <w:tcW w:w="1080" w:type="dxa"/>
            <w:noWrap w:val="0"/>
            <w:vAlign w:val="top"/>
          </w:tcPr>
          <w:p w14:paraId="2B33CBE2">
            <w:pPr>
              <w:jc w:val="center"/>
              <w:rPr>
                <w:szCs w:val="21"/>
              </w:rPr>
            </w:pPr>
            <w:r>
              <w:rPr>
                <w:rFonts w:ascii="宋体" w:hAnsi="宋体" w:eastAsia="宋体"/>
                <w:b w:val="0"/>
                <w:sz w:val="21"/>
              </w:rPr>
              <w:t>男</w:t>
            </w:r>
          </w:p>
        </w:tc>
        <w:tc>
          <w:tcPr>
            <w:tcW w:w="1260" w:type="dxa"/>
            <w:noWrap w:val="0"/>
            <w:vAlign w:val="top"/>
          </w:tcPr>
          <w:p w14:paraId="38AA300C">
            <w:pPr>
              <w:jc w:val="center"/>
              <w:rPr>
                <w:szCs w:val="21"/>
              </w:rPr>
            </w:pPr>
            <w:r>
              <w:rPr>
                <w:rFonts w:ascii="宋体" w:hAnsi="宋体" w:eastAsia="宋体"/>
                <w:b w:val="0"/>
                <w:sz w:val="21"/>
              </w:rPr>
              <w:t>2303016</w:t>
            </w:r>
          </w:p>
        </w:tc>
        <w:tc>
          <w:tcPr>
            <w:tcW w:w="1620" w:type="dxa"/>
            <w:noWrap w:val="0"/>
            <w:vAlign w:val="top"/>
          </w:tcPr>
          <w:p w14:paraId="5E32D1C8">
            <w:pPr>
              <w:jc w:val="center"/>
              <w:rPr>
                <w:szCs w:val="21"/>
              </w:rPr>
            </w:pPr>
          </w:p>
        </w:tc>
        <w:tc>
          <w:tcPr>
            <w:tcW w:w="1587" w:type="dxa"/>
            <w:gridSpan w:val="2"/>
            <w:noWrap w:val="0"/>
            <w:vAlign w:val="top"/>
          </w:tcPr>
          <w:p w14:paraId="12DCDFAC">
            <w:pPr>
              <w:jc w:val="center"/>
              <w:rPr>
                <w:szCs w:val="21"/>
              </w:rPr>
            </w:pPr>
          </w:p>
        </w:tc>
      </w:tr>
      <w:tr w14:paraId="3A7E2B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5" w:hRule="atLeast"/>
        </w:trPr>
        <w:tc>
          <w:tcPr>
            <w:tcW w:w="468" w:type="dxa"/>
            <w:vMerge w:val="continue"/>
            <w:noWrap w:val="0"/>
            <w:textDirection w:val="tbRlV"/>
            <w:vAlign w:val="top"/>
          </w:tcPr>
          <w:p w14:paraId="0F02BAD4">
            <w:pPr>
              <w:ind w:left="113" w:right="113"/>
              <w:jc w:val="center"/>
            </w:pPr>
          </w:p>
        </w:tc>
        <w:tc>
          <w:tcPr>
            <w:tcW w:w="1260" w:type="dxa"/>
            <w:noWrap w:val="0"/>
            <w:vAlign w:val="top"/>
          </w:tcPr>
          <w:p w14:paraId="0F2B1D77">
            <w:pPr>
              <w:rPr>
                <w:szCs w:val="21"/>
              </w:rPr>
            </w:pPr>
            <w:r>
              <w:rPr>
                <w:rFonts w:ascii="宋体" w:hAnsi="宋体" w:eastAsia="宋体"/>
                <w:b w:val="0"/>
                <w:sz w:val="21"/>
              </w:rPr>
              <w:t>贾朕</w:t>
            </w:r>
          </w:p>
        </w:tc>
        <w:tc>
          <w:tcPr>
            <w:tcW w:w="1620" w:type="dxa"/>
            <w:noWrap w:val="0"/>
            <w:vAlign w:val="top"/>
          </w:tcPr>
          <w:p w14:paraId="72AD518A">
            <w:pPr>
              <w:jc w:val="center"/>
              <w:rPr>
                <w:szCs w:val="21"/>
              </w:rPr>
            </w:pPr>
          </w:p>
        </w:tc>
        <w:tc>
          <w:tcPr>
            <w:tcW w:w="1080" w:type="dxa"/>
            <w:noWrap w:val="0"/>
            <w:vAlign w:val="top"/>
          </w:tcPr>
          <w:p w14:paraId="4BA70BE9">
            <w:pPr>
              <w:jc w:val="center"/>
              <w:rPr>
                <w:szCs w:val="21"/>
              </w:rPr>
            </w:pPr>
            <w:r>
              <w:rPr>
                <w:rFonts w:ascii="宋体" w:hAnsi="宋体" w:eastAsia="宋体"/>
                <w:b w:val="0"/>
                <w:sz w:val="21"/>
              </w:rPr>
              <w:t>男</w:t>
            </w:r>
          </w:p>
        </w:tc>
        <w:tc>
          <w:tcPr>
            <w:tcW w:w="1260" w:type="dxa"/>
            <w:noWrap w:val="0"/>
            <w:vAlign w:val="top"/>
          </w:tcPr>
          <w:p w14:paraId="3247EAB4">
            <w:pPr>
              <w:jc w:val="center"/>
              <w:rPr>
                <w:szCs w:val="21"/>
              </w:rPr>
            </w:pPr>
            <w:r>
              <w:rPr>
                <w:rFonts w:ascii="宋体" w:hAnsi="宋体" w:eastAsia="宋体"/>
                <w:b w:val="0"/>
                <w:sz w:val="21"/>
              </w:rPr>
              <w:t>2303016</w:t>
            </w:r>
          </w:p>
        </w:tc>
        <w:tc>
          <w:tcPr>
            <w:tcW w:w="1620" w:type="dxa"/>
            <w:noWrap w:val="0"/>
            <w:vAlign w:val="top"/>
          </w:tcPr>
          <w:p w14:paraId="56807A15">
            <w:pPr>
              <w:jc w:val="center"/>
              <w:rPr>
                <w:szCs w:val="21"/>
              </w:rPr>
            </w:pPr>
          </w:p>
        </w:tc>
        <w:tc>
          <w:tcPr>
            <w:tcW w:w="1587" w:type="dxa"/>
            <w:gridSpan w:val="2"/>
            <w:noWrap w:val="0"/>
            <w:vAlign w:val="top"/>
          </w:tcPr>
          <w:p w14:paraId="2D37A9F3">
            <w:pPr>
              <w:jc w:val="center"/>
              <w:rPr>
                <w:szCs w:val="21"/>
              </w:rPr>
            </w:pPr>
          </w:p>
        </w:tc>
      </w:tr>
      <w:tr w14:paraId="279642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5" w:hRule="atLeast"/>
        </w:trPr>
        <w:tc>
          <w:tcPr>
            <w:tcW w:w="468" w:type="dxa"/>
            <w:vMerge w:val="continue"/>
            <w:noWrap w:val="0"/>
            <w:textDirection w:val="tbRlV"/>
            <w:vAlign w:val="top"/>
          </w:tcPr>
          <w:p w14:paraId="0877271A">
            <w:pPr>
              <w:ind w:left="113" w:right="113"/>
              <w:jc w:val="center"/>
            </w:pPr>
          </w:p>
        </w:tc>
        <w:tc>
          <w:tcPr>
            <w:tcW w:w="1260" w:type="dxa"/>
            <w:noWrap w:val="0"/>
            <w:vAlign w:val="top"/>
          </w:tcPr>
          <w:p w14:paraId="03A1320B">
            <w:pPr>
              <w:rPr>
                <w:rFonts w:hint="eastAsia"/>
                <w:szCs w:val="21"/>
              </w:rPr>
            </w:pPr>
            <w:r>
              <w:rPr>
                <w:rFonts w:ascii="宋体" w:hAnsi="宋体" w:eastAsia="宋体"/>
                <w:b w:val="0"/>
                <w:sz w:val="21"/>
              </w:rPr>
              <w:t>宫献睿</w:t>
            </w:r>
          </w:p>
        </w:tc>
        <w:tc>
          <w:tcPr>
            <w:tcW w:w="1620" w:type="dxa"/>
            <w:noWrap w:val="0"/>
            <w:vAlign w:val="top"/>
          </w:tcPr>
          <w:p w14:paraId="783960EF">
            <w:pPr>
              <w:jc w:val="center"/>
              <w:rPr>
                <w:szCs w:val="21"/>
              </w:rPr>
            </w:pPr>
            <w:r>
              <w:rPr>
                <w:rFonts w:ascii="宋体" w:hAnsi="宋体" w:eastAsia="宋体"/>
                <w:b w:val="0"/>
                <w:sz w:val="21"/>
              </w:rPr>
              <w:t>23009200498</w:t>
            </w:r>
          </w:p>
        </w:tc>
        <w:tc>
          <w:tcPr>
            <w:tcW w:w="1080" w:type="dxa"/>
            <w:noWrap w:val="0"/>
            <w:vAlign w:val="top"/>
          </w:tcPr>
          <w:p w14:paraId="5F14D544">
            <w:pPr>
              <w:jc w:val="center"/>
              <w:rPr>
                <w:szCs w:val="21"/>
              </w:rPr>
            </w:pPr>
            <w:r>
              <w:rPr>
                <w:rFonts w:ascii="宋体" w:hAnsi="宋体" w:eastAsia="宋体"/>
                <w:b w:val="0"/>
                <w:sz w:val="21"/>
              </w:rPr>
              <w:t>男</w:t>
            </w:r>
          </w:p>
        </w:tc>
        <w:tc>
          <w:tcPr>
            <w:tcW w:w="1260" w:type="dxa"/>
            <w:noWrap w:val="0"/>
            <w:vAlign w:val="top"/>
          </w:tcPr>
          <w:p w14:paraId="02C1108F">
            <w:pPr>
              <w:jc w:val="center"/>
              <w:rPr>
                <w:szCs w:val="21"/>
              </w:rPr>
            </w:pPr>
            <w:r>
              <w:rPr>
                <w:rFonts w:ascii="宋体" w:hAnsi="宋体" w:eastAsia="宋体"/>
                <w:b w:val="0"/>
                <w:sz w:val="21"/>
              </w:rPr>
              <w:t>2303016</w:t>
            </w:r>
          </w:p>
        </w:tc>
        <w:tc>
          <w:tcPr>
            <w:tcW w:w="1620" w:type="dxa"/>
            <w:noWrap w:val="0"/>
            <w:vAlign w:val="top"/>
          </w:tcPr>
          <w:p w14:paraId="1ADDA9D2">
            <w:pPr>
              <w:jc w:val="center"/>
              <w:rPr>
                <w:szCs w:val="21"/>
              </w:rPr>
            </w:pPr>
            <w:r>
              <w:rPr>
                <w:rFonts w:ascii="宋体" w:hAnsi="宋体" w:eastAsia="宋体"/>
                <w:b w:val="0"/>
                <w:sz w:val="21"/>
              </w:rPr>
              <w:t>19811795859</w:t>
            </w:r>
          </w:p>
        </w:tc>
        <w:tc>
          <w:tcPr>
            <w:tcW w:w="1587" w:type="dxa"/>
            <w:gridSpan w:val="2"/>
            <w:noWrap w:val="0"/>
            <w:vAlign w:val="top"/>
          </w:tcPr>
          <w:p w14:paraId="274F2405">
            <w:pPr>
              <w:jc w:val="center"/>
              <w:rPr>
                <w:szCs w:val="21"/>
              </w:rPr>
            </w:pPr>
            <w:r>
              <w:rPr>
                <w:rFonts w:ascii="宋体" w:hAnsi="宋体" w:eastAsia="宋体"/>
                <w:b w:val="0"/>
                <w:sz w:val="21"/>
              </w:rPr>
              <w:t>19811795859@163.com</w:t>
            </w:r>
          </w:p>
        </w:tc>
      </w:tr>
      <w:tr w14:paraId="6676B6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86" w:hRule="atLeast"/>
        </w:trPr>
        <w:tc>
          <w:tcPr>
            <w:tcW w:w="468" w:type="dxa"/>
            <w:vMerge w:val="restart"/>
            <w:noWrap w:val="0"/>
            <w:textDirection w:val="tbRlV"/>
            <w:vAlign w:val="top"/>
          </w:tcPr>
          <w:p w14:paraId="6B4B4E84">
            <w:pPr>
              <w:ind w:left="113" w:right="113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指导老师</w:t>
            </w:r>
          </w:p>
        </w:tc>
        <w:tc>
          <w:tcPr>
            <w:tcW w:w="1260" w:type="dxa"/>
            <w:noWrap w:val="0"/>
            <w:vAlign w:val="center"/>
          </w:tcPr>
          <w:p w14:paraId="327E4D2E">
            <w:pPr>
              <w:jc w:val="center"/>
            </w:pPr>
            <w:r>
              <w:t>姓名</w:t>
            </w:r>
          </w:p>
        </w:tc>
        <w:tc>
          <w:tcPr>
            <w:tcW w:w="1620" w:type="dxa"/>
            <w:noWrap w:val="0"/>
            <w:vAlign w:val="center"/>
          </w:tcPr>
          <w:p w14:paraId="06E2338B"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赵梦婷</w:t>
            </w:r>
          </w:p>
        </w:tc>
        <w:tc>
          <w:tcPr>
            <w:tcW w:w="1080" w:type="dxa"/>
            <w:noWrap w:val="0"/>
            <w:vAlign w:val="center"/>
          </w:tcPr>
          <w:p w14:paraId="15F4860B">
            <w:pPr>
              <w:jc w:val="center"/>
            </w:pPr>
            <w:r>
              <w:t>性别</w:t>
            </w:r>
          </w:p>
        </w:tc>
        <w:tc>
          <w:tcPr>
            <w:tcW w:w="1260" w:type="dxa"/>
            <w:noWrap w:val="0"/>
            <w:vAlign w:val="center"/>
          </w:tcPr>
          <w:p w14:paraId="0BD2FD74">
            <w:pPr>
              <w:jc w:val="center"/>
            </w:pPr>
          </w:p>
        </w:tc>
        <w:tc>
          <w:tcPr>
            <w:tcW w:w="1620" w:type="dxa"/>
            <w:noWrap w:val="0"/>
            <w:vAlign w:val="center"/>
          </w:tcPr>
          <w:p w14:paraId="70DFA1CA">
            <w:pPr>
              <w:jc w:val="center"/>
            </w:pPr>
            <w:r>
              <w:t>职称</w:t>
            </w:r>
          </w:p>
        </w:tc>
        <w:tc>
          <w:tcPr>
            <w:tcW w:w="1587" w:type="dxa"/>
            <w:gridSpan w:val="2"/>
            <w:noWrap w:val="0"/>
            <w:vAlign w:val="center"/>
          </w:tcPr>
          <w:p w14:paraId="781E250A"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华山准聘副教授</w:t>
            </w:r>
          </w:p>
        </w:tc>
      </w:tr>
      <w:tr w14:paraId="428D61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81" w:hRule="atLeast"/>
        </w:trPr>
        <w:tc>
          <w:tcPr>
            <w:tcW w:w="468" w:type="dxa"/>
            <w:vMerge w:val="continue"/>
            <w:noWrap w:val="0"/>
            <w:textDirection w:val="tbRlV"/>
            <w:vAlign w:val="top"/>
          </w:tcPr>
          <w:p w14:paraId="3A7BF6E0">
            <w:pPr>
              <w:ind w:left="113" w:right="113"/>
              <w:jc w:val="center"/>
            </w:pPr>
          </w:p>
        </w:tc>
        <w:tc>
          <w:tcPr>
            <w:tcW w:w="1260" w:type="dxa"/>
            <w:noWrap w:val="0"/>
            <w:vAlign w:val="center"/>
          </w:tcPr>
          <w:p w14:paraId="5AD410A8">
            <w:pPr>
              <w:jc w:val="center"/>
            </w:pPr>
            <w:r>
              <w:t>研究领域</w:t>
            </w:r>
          </w:p>
        </w:tc>
        <w:tc>
          <w:tcPr>
            <w:tcW w:w="1620" w:type="dxa"/>
            <w:noWrap w:val="0"/>
            <w:vAlign w:val="center"/>
          </w:tcPr>
          <w:p w14:paraId="6FBCEEF6">
            <w:pPr>
              <w:jc w:val="center"/>
            </w:pPr>
          </w:p>
        </w:tc>
        <w:tc>
          <w:tcPr>
            <w:tcW w:w="1080" w:type="dxa"/>
            <w:noWrap w:val="0"/>
            <w:vAlign w:val="center"/>
          </w:tcPr>
          <w:p w14:paraId="565F051C">
            <w:pPr>
              <w:jc w:val="center"/>
            </w:pPr>
            <w:r>
              <w:t>所属系</w:t>
            </w:r>
          </w:p>
        </w:tc>
        <w:tc>
          <w:tcPr>
            <w:tcW w:w="1260" w:type="dxa"/>
            <w:noWrap w:val="0"/>
            <w:vAlign w:val="center"/>
          </w:tcPr>
          <w:p w14:paraId="6C166DA4"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计算机科学与技术学院</w:t>
            </w:r>
          </w:p>
        </w:tc>
        <w:tc>
          <w:tcPr>
            <w:tcW w:w="1620" w:type="dxa"/>
            <w:noWrap w:val="0"/>
            <w:vAlign w:val="center"/>
          </w:tcPr>
          <w:p w14:paraId="315E15BF">
            <w:pPr>
              <w:jc w:val="center"/>
            </w:pPr>
            <w:r>
              <w:t>E-mail</w:t>
            </w:r>
          </w:p>
        </w:tc>
        <w:tc>
          <w:tcPr>
            <w:tcW w:w="1587" w:type="dxa"/>
            <w:gridSpan w:val="2"/>
            <w:noWrap w:val="0"/>
            <w:vAlign w:val="center"/>
          </w:tcPr>
          <w:p w14:paraId="0B61A31A">
            <w:pPr>
              <w:jc w:val="center"/>
            </w:pPr>
          </w:p>
        </w:tc>
      </w:tr>
      <w:tr w14:paraId="468D5D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48" w:hRule="atLeast"/>
        </w:trPr>
        <w:tc>
          <w:tcPr>
            <w:tcW w:w="8895" w:type="dxa"/>
            <w:gridSpan w:val="8"/>
            <w:noWrap w:val="0"/>
            <w:vAlign w:val="top"/>
          </w:tcPr>
          <w:p>
            <w:pPr>
              <w:spacing w:before="0" w:after="40" w:line="300" w:lineRule="auto"/>
            </w:pPr>
            <w:r>
              <w:rPr>
                <w:rFonts w:ascii="宋体" w:hAnsi="宋体" w:eastAsia="宋体"/>
                <w:b/>
                <w:sz w:val="21"/>
              </w:rPr>
              <w:t>一、设计目标与任务</w:t>
            </w:r>
          </w:p>
          <w:p>
            <w:pPr>
              <w:spacing w:before="0" w:after="40" w:line="300" w:lineRule="auto"/>
              <w:ind w:firstLine="420"/>
            </w:pPr>
            <w:r>
              <w:rPr>
                <w:rFonts w:ascii="宋体" w:hAnsi="宋体" w:eastAsia="宋体"/>
                <w:b w:val="0"/>
                <w:sz w:val="21"/>
              </w:rPr>
              <w:t>本项目的目标是：基于 B/S 网络架构与事件驱动模型，构建一套“基于大模型的智能疏导仓共情语音交互与状态监测系统”，使系统能够依据用户在疏导仓内的隐性心理状态（情绪、认知负荷）主动发起共情沟通，实现从“冷冰冰的执行器”向“有温度的陪伴者”的跨越。具体任务与要求如下：</w:t>
            </w:r>
          </w:p>
          <w:p>
            <w:pPr>
              <w:spacing w:before="0" w:after="40"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1. 多源状态数据接入与可视化：编写后端 WebSocket 服务，同步接收疏导仓内“音视频情绪标签（Positive/Negative）”与“脑电认知负荷等级”两路数据流，并在前端开发实时动态监测大屏。</w:t>
            </w:r>
          </w:p>
          <w:p>
            <w:pPr>
              <w:spacing w:before="0" w:after="40"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2. 共情策略与 Prompt 工程：接入开源大模型 API（如智谱 GLM、通义千问等），设计结构化的提示词，将实时接收到的“情绪＋认知”异常状态转化为自然语言的“共情安抚话术”或“心理疏导建议”。</w:t>
            </w:r>
          </w:p>
          <w:p>
            <w:pPr>
              <w:spacing w:before="0" w:after="40"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3. 语音交互管线搭建：整合外部的 ASR（语音转文字）与 TTS（文字转语音）服务，开发一条完整的语音交互链路，使系统能以“数字语音助手”的形态与用户进行对话交流。</w:t>
            </w:r>
          </w:p>
          <w:p>
            <w:pPr>
              <w:spacing w:before="0" w:after="40"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4. 日志管理与干预记录：开发数据库模块，记录用户在疏导仓内的状态变化曲线及系统的交互干预日志，支持历史数据查询与导出。</w:t>
            </w:r>
          </w:p>
          <w:p>
            <w:pPr>
              <w:spacing w:before="0" w:after="40" w:line="300" w:lineRule="auto"/>
              <w:ind w:firstLine="420"/>
            </w:pPr>
            <w:r>
              <w:rPr>
                <w:rFonts w:ascii="宋体" w:hAnsi="宋体" w:eastAsia="宋体"/>
                <w:b w:val="0"/>
                <w:sz w:val="21"/>
              </w:rPr>
              <w:t>工程要求：系统需具备高实时性，WebSocket 数据流推送不卡顿；大模型生成的安抚话术需符合心理疏导逻辑，避免产生无意义的“幻觉”回复；代码结构规范，需提供完整的系统演示 Demo 与规范的工程设计报告。</w:t>
            </w:r>
          </w:p>
        </w:tc>
      </w:tr>
      <w:tr w14:paraId="77CA32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32" w:hRule="atLeast"/>
        </w:trPr>
        <w:tc>
          <w:tcPr>
            <w:tcW w:w="8895" w:type="dxa"/>
            <w:gridSpan w:val="8"/>
            <w:noWrap w:val="0"/>
            <w:vAlign w:val="top"/>
          </w:tcPr>
          <w:p>
            <w:pPr>
              <w:spacing w:before="0" w:after="40" w:line="300" w:lineRule="auto"/>
            </w:pPr>
            <w:r>
              <w:rPr>
                <w:rFonts w:ascii="宋体" w:hAnsi="宋体" w:eastAsia="宋体"/>
                <w:b/>
                <w:sz w:val="21"/>
              </w:rPr>
              <w:t>二、主要功能介绍</w:t>
            </w:r>
          </w:p>
          <w:p>
            <w:pPr>
              <w:spacing w:before="0" w:after="40" w:line="300" w:lineRule="auto"/>
              <w:ind w:firstLine="420"/>
            </w:pPr>
            <w:r>
              <w:rPr>
                <w:rFonts w:ascii="宋体" w:hAnsi="宋体" w:eastAsia="宋体"/>
                <w:b w:val="0"/>
                <w:sz w:val="21"/>
              </w:rPr>
              <w:t>1. 多源状态实时接入与监测大屏：系统通过 WebSocket 实时接收“音视频情绪标签”与“脑电认知负荷等级”两路状态数据，前端大屏以情绪构成环形图、认知负荷实时曲线、状态时间轴等形式动态展示，并显示推送帧率、在线观察端数量等运行指标；实测推送帧率约 9～10 Hz，长时间运行界面流畅。</w:t>
            </w:r>
          </w:p>
          <w:p>
            <w:pPr>
              <w:spacing w:before="0" w:after="40" w:line="300" w:lineRule="auto"/>
              <w:ind w:firstLine="420"/>
            </w:pPr>
            <w:r>
              <w:rPr>
                <w:rFonts w:ascii="宋体" w:hAnsi="宋体" w:eastAsia="宋体"/>
                <w:b w:val="0"/>
                <w:sz w:val="21"/>
              </w:rPr>
              <w:t>2. 异常状态自动判定与共情干预：系统对连续状态进行统计判断，要求连续多帧异常才予以确认，并为同一类提醒设置最小时间间隔，仅在异常稳定出现时才触发干预，避免因数据随机波动而误报；触发后自动生成共情安抚话术，并按严重程度分级处理（轻度状态以陪伴安抚为主，持续高危状态转为专业转介）。</w:t>
            </w:r>
          </w:p>
          <w:p>
            <w:pPr>
              <w:spacing w:before="0" w:after="40" w:line="300" w:lineRule="auto"/>
              <w:ind w:firstLine="420"/>
            </w:pPr>
            <w:r>
              <w:rPr>
                <w:rFonts w:ascii="宋体" w:hAnsi="宋体" w:eastAsia="宋体"/>
                <w:b w:val="0"/>
                <w:sz w:val="21"/>
              </w:rPr>
              <w:t>3. 大模型共情话术生成（Prompt 工程）：通过结构化的提示词限定模型的角色定位、内容边界与输出格式，把“情绪＋认知”状态转写为口语化、可直接朗读的安抚话术；支持 DeepSeek、智谱 GLM、通义千问等主流厂商，修改配置文件即可切换。</w:t>
            </w:r>
          </w:p>
          <w:p>
            <w:pPr>
              <w:spacing w:before="0" w:after="40" w:line="300" w:lineRule="auto"/>
              <w:ind w:firstLine="420"/>
            </w:pPr>
            <w:r>
              <w:rPr>
                <w:rFonts w:ascii="宋体" w:hAnsi="宋体" w:eastAsia="宋体"/>
                <w:b w:val="0"/>
                <w:sz w:val="21"/>
              </w:rPr>
              <w:t>4. 输出内容安全检查与兜底：对模型返回结果先做格式解析，再校验字段完整性与内容边界，拦截诊断、用药等不应出现的表述；高危状态不交由模型自由发挥，直接使用系统内置的确定性话术；任一环节不通过即降级为规则话术，保证系统不会输出越界内容，也不会因模型故障而失语。</w:t>
            </w:r>
          </w:p>
          <w:p>
            <w:pPr>
              <w:spacing w:before="0" w:after="40" w:line="300" w:lineRule="auto"/>
              <w:ind w:firstLine="420"/>
            </w:pPr>
            <w:r>
              <w:rPr>
                <w:rFonts w:ascii="宋体" w:hAnsi="宋体" w:eastAsia="宋体"/>
                <w:b w:val="0"/>
                <w:sz w:val="21"/>
              </w:rPr>
              <w:t>5. 数字语音助手（语音交互）：支持按住说话进行语音对话，完成“录音 → 语音识别 → 结合实时状态生成回应 → 语音合成播报”的双向交流；在未配置付费语音接口时自动使用浏览器自带的朗读功能，保证系统始终能出声。</w:t>
            </w:r>
          </w:p>
          <w:p>
            <w:pPr>
              <w:spacing w:before="0" w:after="40" w:line="300" w:lineRule="auto"/>
              <w:ind w:firstLine="420"/>
            </w:pPr>
            <w:r>
              <w:rPr>
                <w:rFonts w:ascii="宋体" w:hAnsi="宋体" w:eastAsia="宋体"/>
                <w:b w:val="0"/>
                <w:sz w:val="21"/>
              </w:rPr>
              <w:t>6. 历史日志查询与导出：记录状态变化曲线（按每秒 1 条汇总）与全部干预记录（含触发原因、生成话术、使用策略、风险等级、生成时延、是否降级等信息），支持按会话与时间范围查询、分页浏览，并可导出 CSV 文件。</w:t>
            </w:r>
          </w:p>
          <w:p>
            <w:pPr>
              <w:spacing w:before="0" w:after="40" w:line="300" w:lineRule="auto"/>
              <w:ind w:firstLine="420"/>
            </w:pPr>
            <w:r>
              <w:rPr>
                <w:rFonts w:ascii="宋体" w:hAnsi="宋体" w:eastAsia="宋体"/>
                <w:b w:val="0"/>
                <w:sz w:val="21"/>
              </w:rPr>
              <w:t>7. 模拟演示注入：内置“平静常态 / 焦虑升级 / 情绪恢复 / 高认知负荷”四套模拟，可一键复现“平静 → 异常 → 共情干预 → 状态恢复”的完整闭环，便于演示与测试。</w:t>
            </w:r>
          </w:p>
          <w:p>
            <w:pPr>
              <w:spacing w:before="0" w:after="40" w:line="300" w:lineRule="auto"/>
              <w:ind w:firstLine="420"/>
            </w:pPr>
            <w:r>
              <w:rPr>
                <w:rFonts w:ascii="宋体" w:hAnsi="宋体" w:eastAsia="宋体"/>
                <w:b w:val="0"/>
                <w:sz w:val="21"/>
              </w:rPr>
              <w:t>8. 服务状态可视化：页面顶部常驻显示各服务当前使用的是模拟实现还是真实接口，避免“以为调用了真模型、实际在跑模拟数据”的误判。</w:t>
            </w:r>
          </w:p>
        </w:tc>
      </w:tr>
      <w:tr w14:paraId="7922F4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367" w:type="dxa"/>
        </w:trPr>
        <w:tc>
          <w:tcPr>
            <w:tcW w:w="8528" w:type="dxa"/>
            <w:gridSpan w:val="7"/>
            <w:noWrap w:val="0"/>
            <w:vAlign w:val="top"/>
          </w:tcPr>
          <w:p>
            <w:pPr>
              <w:spacing w:before="0" w:after="40" w:line="300" w:lineRule="auto"/>
            </w:pPr>
            <w:r>
              <w:rPr>
                <w:rFonts w:ascii="宋体" w:hAnsi="宋体" w:eastAsia="宋体"/>
                <w:b/>
                <w:sz w:val="21"/>
              </w:rPr>
              <w:t>三、设计思路与实现方法（可加页）</w:t>
            </w:r>
          </w:p>
          <w:p>
            <w:pPr>
              <w:spacing w:before="0" w:after="40" w:line="300" w:lineRule="auto"/>
              <w:ind w:firstLine="420"/>
            </w:pPr>
            <w:r>
              <w:rPr>
                <w:rFonts w:ascii="宋体" w:hAnsi="宋体" w:eastAsia="宋体"/>
                <w:b w:val="0"/>
                <w:sz w:val="21"/>
              </w:rPr>
              <w:t>1. 总体架构：采用浏览器／服务器（B/S）架构与事件驱动模型，整体划分为数据来源、判断与生成、交互三个部分。数据来源部分把两路数据统一为同一种格式，屏蔽来源差异；判断与生成部分负责异常判定与话术生成；交互部分负责文字与语音的双向沟通。</w:t>
            </w:r>
          </w:p>
          <w:p>
            <w:pPr>
              <w:spacing w:before="0" w:after="40" w:line="300" w:lineRule="auto"/>
              <w:ind w:firstLine="420"/>
            </w:pPr>
            <w:r>
              <w:rPr>
                <w:rFonts w:ascii="宋体" w:hAnsi="宋体" w:eastAsia="宋体"/>
                <w:b w:val="0"/>
                <w:sz w:val="21"/>
              </w:rPr>
              <w:t>2. 数据接入：以统一的 WebSocket 接口接入外部系统，连接断开后按指数退避自动重连；同时内置模拟数据源用于离线调试与演示，通过配置文件切换，无需改动业务代码。</w:t>
            </w:r>
          </w:p>
          <w:p>
            <w:pPr>
              <w:spacing w:before="0" w:after="40" w:line="300" w:lineRule="auto"/>
              <w:ind w:firstLine="420"/>
            </w:pPr>
            <w:r>
              <w:rPr>
                <w:rFonts w:ascii="宋体" w:hAnsi="宋体" w:eastAsia="宋体"/>
                <w:b w:val="0"/>
                <w:sz w:val="21"/>
              </w:rPr>
              <w:t>3. 实时推送：为保证推送不卡顿，每条客户端连接使用独立的发送队列与独立的发送协程，响应慢的客户端只影响自身；队列满时优先丢弃最旧的状态帧，保证最新数据能及时送达；干预提示与语音播报等重要消息单独排队并优先发送。</w:t>
            </w:r>
          </w:p>
          <w:p>
            <w:pPr>
              <w:spacing w:before="0" w:after="40" w:line="300" w:lineRule="auto"/>
              <w:ind w:firstLine="420"/>
            </w:pPr>
            <w:r>
              <w:rPr>
                <w:rFonts w:ascii="宋体" w:hAnsi="宋体" w:eastAsia="宋体"/>
                <w:b w:val="0"/>
                <w:sz w:val="21"/>
              </w:rPr>
              <w:t>4. 异常判定：不对每一帧数据都调用大模型，而是先对最近一小段时间内的数据做统计，要求连续多帧异常才予以确认，并为同一类提醒设置最小时间间隔，从而避免随机波动造成的误报和无意义的模型调用。</w:t>
            </w:r>
          </w:p>
          <w:p>
            <w:pPr>
              <w:spacing w:before="0" w:after="40" w:line="300" w:lineRule="auto"/>
              <w:ind w:firstLine="420"/>
            </w:pPr>
            <w:r>
              <w:rPr>
                <w:rFonts w:ascii="宋体" w:hAnsi="宋体" w:eastAsia="宋体"/>
                <w:b w:val="0"/>
                <w:sz w:val="21"/>
              </w:rPr>
              <w:t>5. 提示词与内容安全：提示词中明确助手的角色定位、内容边界与输出格式，并要求以固定格式返回；模型返回后先解析、再校验完整性与长度、最后检查是否包含敏感内容，不通过则使用事先准备好的固定话术。</w:t>
            </w:r>
          </w:p>
          <w:p>
            <w:pPr>
              <w:spacing w:before="0" w:after="40" w:line="300" w:lineRule="auto"/>
              <w:ind w:firstLine="420"/>
            </w:pPr>
            <w:r>
              <w:rPr>
                <w:rFonts w:ascii="宋体" w:hAnsi="宋体" w:eastAsia="宋体"/>
                <w:b w:val="0"/>
                <w:sz w:val="21"/>
              </w:rPr>
              <w:t>6. 语音交互链路：在一条 WebSocket 通道上采用“二进制音频帧＋文本控制帧”的混合方式完成音频上传与控制指令传输；语音识别与语音合成均设置超时，失败时给出明确提示或退回浏览器朗读。</w:t>
            </w:r>
          </w:p>
          <w:p>
            <w:pPr>
              <w:spacing w:before="0" w:after="40" w:line="300" w:lineRule="auto"/>
              <w:ind w:firstLine="420"/>
            </w:pPr>
            <w:r>
              <w:rPr>
                <w:rFonts w:ascii="宋体" w:hAnsi="宋体" w:eastAsia="宋体"/>
                <w:b w:val="0"/>
                <w:sz w:val="21"/>
              </w:rPr>
              <w:t>7. 数据存储：原始状态数据频率较高，全部保存会使数据库迅速变大，因此按每秒 1 条汇总后再保存，既能反映状态变化趋势又能控制数据量；干预记录保存完整的决策上下文，便于问题回溯与答辩举证。</w:t>
            </w:r>
          </w:p>
          <w:p>
            <w:pPr>
              <w:spacing w:before="0" w:after="40" w:line="300" w:lineRule="auto"/>
              <w:ind w:firstLine="420"/>
            </w:pPr>
            <w:r>
              <w:rPr>
                <w:rFonts w:ascii="宋体" w:hAnsi="宋体" w:eastAsia="宋体"/>
                <w:b w:val="0"/>
                <w:sz w:val="21"/>
              </w:rPr>
              <w:t>8. 可扩展性：各模块之间只通过统一接口相互调用，具体使用哪家的模型或语音服务在程序启动时统一指定，更换服务或调试问题只需修改配置文件，不必改动业务代码。</w:t>
            </w:r>
          </w:p>
          <w:p>
            <w:pPr>
              <w:spacing w:before="0" w:after="40" w:line="300" w:lineRule="auto"/>
            </w:pPr>
            <w:r>
              <w:rPr>
                <w:rFonts w:ascii="宋体" w:hAnsi="宋体" w:eastAsia="宋体"/>
                <w:b/>
                <w:sz w:val="21"/>
              </w:rPr>
              <w:t>四、开发与运行环境</w:t>
            </w:r>
          </w:p>
          <w:p>
            <w:pPr>
              <w:spacing w:before="0" w:after="40" w:line="300" w:lineRule="auto"/>
              <w:ind w:firstLine="420"/>
            </w:pPr>
            <w:r>
              <w:rPr>
                <w:rFonts w:ascii="宋体" w:hAnsi="宋体" w:eastAsia="宋体"/>
                <w:b w:val="0"/>
                <w:sz w:val="21"/>
              </w:rPr>
              <w:t>（1）硬件环境：普通 PC（Windows 10 / 11，64 位），无需专用设备；在没有外部情绪识别与脑电设备时，使用系统内置的模拟数据源运行。</w:t>
            </w:r>
          </w:p>
          <w:p>
            <w:pPr>
              <w:spacing w:before="0" w:after="40" w:line="300" w:lineRule="auto"/>
              <w:ind w:firstLine="420"/>
            </w:pPr>
            <w:r>
              <w:rPr>
                <w:rFonts w:ascii="宋体" w:hAnsi="宋体" w:eastAsia="宋体"/>
                <w:b w:val="0"/>
                <w:sz w:val="21"/>
              </w:rPr>
              <w:t>（2）开发语言与框架：后端 Python 3.12 + FastAPI + Uvicorn，原生 WebSocket；前端 Node.js 18+ + Vue 3 + TypeScript + Vite，图表库 ECharts。</w:t>
            </w:r>
          </w:p>
          <w:p>
            <w:pPr>
              <w:spacing w:before="0" w:after="40" w:line="300" w:lineRule="auto"/>
              <w:ind w:firstLine="420"/>
            </w:pPr>
            <w:r>
              <w:rPr>
                <w:rFonts w:ascii="宋体" w:hAnsi="宋体" w:eastAsia="宋体"/>
                <w:b w:val="0"/>
                <w:sz w:val="21"/>
              </w:rPr>
              <w:t>（3）数据存储：SQLite 数据库（SQLAlchemy 2.0 异步 ORM）。</w:t>
            </w:r>
          </w:p>
          <w:p>
            <w:pPr>
              <w:spacing w:before="0" w:after="40" w:line="300" w:lineRule="auto"/>
              <w:ind w:firstLine="420"/>
            </w:pPr>
            <w:r>
              <w:rPr>
                <w:rFonts w:ascii="宋体" w:hAnsi="宋体" w:eastAsia="宋体"/>
                <w:b w:val="0"/>
                <w:sz w:val="21"/>
              </w:rPr>
              <w:t>（4）第三方服务：大模型采用 OpenAI 兼容接口（可选 DeepSeek、智谱 GLM、通义千问等）；语音识别采用 Whisper 兼容接口；语音合成采用 edge-tts；未配置密钥时自动使用内置模拟实现。</w:t>
            </w:r>
          </w:p>
          <w:p>
            <w:pPr>
              <w:spacing w:before="0" w:after="40" w:line="300" w:lineRule="auto"/>
              <w:ind w:firstLine="420"/>
            </w:pPr>
            <w:r>
              <w:rPr>
                <w:rFonts w:ascii="宋体" w:hAnsi="宋体" w:eastAsia="宋体"/>
                <w:b w:val="0"/>
                <w:sz w:val="21"/>
              </w:rPr>
              <w:t>（5）运行方式：后端执行 python -m uvicorn app.main:app --port 8000；前端执行 npm install 后 npm run dev；浏览器访问 http://127.0.0.1:5173 即可。</w:t>
            </w:r>
          </w:p>
          <w:p>
            <w:pPr>
              <w:spacing w:before="0" w:after="40" w:line="300" w:lineRule="auto"/>
              <w:ind w:firstLine="420"/>
            </w:pPr>
            <w:r>
              <w:rPr>
                <w:rFonts w:ascii="宋体" w:hAnsi="宋体" w:eastAsia="宋体"/>
                <w:b w:val="0"/>
                <w:sz w:val="21"/>
              </w:rPr>
              <w:t>（6）开发工具：Visual Studio Code、Git。</w:t>
            </w:r>
          </w:p>
          <w:p>
            <w:pPr>
              <w:spacing w:before="0" w:after="40" w:line="300" w:lineRule="auto"/>
            </w:pPr>
            <w:r>
              <w:rPr>
                <w:rFonts w:ascii="宋体" w:hAnsi="宋体" w:eastAsia="宋体"/>
                <w:b/>
                <w:sz w:val="21"/>
              </w:rPr>
              <w:t>五、软件截图</w:t>
            </w:r>
          </w:p>
          <w:p>
            <w:pPr>
              <w:spacing w:before="0" w:after="40" w:line="300" w:lineRule="auto"/>
              <w:ind w:firstLine="420"/>
            </w:pPr>
            <w:r>
              <w:rPr>
                <w:rFonts w:ascii="宋体" w:hAnsi="宋体" w:eastAsia="宋体"/>
                <w:b/>
                <w:sz w:val="21"/>
              </w:rPr>
              <w:t>（此处插入系统实际运行截图，建议包含以下 5 张）</w:t>
            </w:r>
          </w:p>
          <w:p>
            <w:pPr>
              <w:spacing w:before="0" w:after="40"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1. 实时监测大屏整体界面：情绪构成、认知负荷实时曲线、状态时间轴、干预记录与顶部服务状态徽标；</w:t>
            </w:r>
          </w:p>
          <w:p>
            <w:pPr>
              <w:spacing w:before="0" w:after="40"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2. 共情干预效果：注入“焦虑升级”模拟后弹出的共情话术卡片；</w:t>
            </w:r>
          </w:p>
          <w:p>
            <w:pPr>
              <w:spacing w:before="0" w:after="40"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3. 语音对话面板：按住说话与文字输入、语音识别结果；</w:t>
            </w:r>
          </w:p>
          <w:p>
            <w:pPr>
              <w:spacing w:before="0" w:after="40"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4. 历史日志页：会话列表、状态曲线采样点与干预记录；</w:t>
            </w:r>
          </w:p>
          <w:p>
            <w:pPr>
              <w:spacing w:before="0" w:after="40" w:line="300" w:lineRule="auto"/>
            </w:pPr>
            <w:r>
              <w:rPr>
                <w:rFonts w:ascii="宋体" w:hAnsi="宋体" w:eastAsia="宋体"/>
                <w:b w:val="0"/>
                <w:sz w:val="21"/>
              </w:rPr>
              <w:t>5. 数据导出结果：导出的 states.csv 与 interventions.csv 文件内容。</w:t>
            </w:r>
          </w:p>
          <w:p>
            <w:pPr>
              <w:spacing w:before="0" w:after="40" w:line="300" w:lineRule="auto"/>
            </w:pPr>
            <w:r>
              <w:rPr>
                <w:rFonts w:ascii="宋体" w:hAnsi="宋体" w:eastAsia="宋体"/>
                <w:b/>
                <w:sz w:val="21"/>
              </w:rPr>
              <w:t>六、总结与说明</w:t>
            </w:r>
          </w:p>
          <w:p>
            <w:pPr>
              <w:spacing w:before="0" w:after="40" w:line="300" w:lineRule="auto"/>
              <w:ind w:firstLine="420"/>
            </w:pPr>
            <w:r>
              <w:rPr>
                <w:rFonts w:ascii="宋体" w:hAnsi="宋体" w:eastAsia="宋体"/>
                <w:b w:val="0"/>
                <w:sz w:val="21"/>
              </w:rPr>
              <w:t>本项目围绕“多源状态实时接入 → 异常状态判定 → 大模型共情话术生成 → 内容安全检查 → 语音播报 → 数据落库与查询导出”的完整链路进行了设计与实现，完成了任务书提出的四项任务与工程要求：一是实现了基于 WebSocket 的两路状态数据实时接入与前端动态监测大屏，推送帧率稳定、界面流畅；二是接入了大模型并完成提示词设计，实现了由异常状态自动触发的共情安抚话术生成；三是打通了语音识别与语音合成的完整交互链路，系统可以“数字语音助手”的形态与用户对话；四是完成了状态变化曲线与干预日志的记录，支持历史查询与导出。系统在未配置任何付费接口的情况下即可完整演示全流程，配置密钥后即可切换到真实的大模型与语音服务。</w:t>
            </w:r>
          </w:p>
          <w:p>
            <w:pPr>
              <w:spacing w:before="0" w:after="40" w:line="300" w:lineRule="auto"/>
            </w:pPr>
            <w:r>
              <w:rPr>
                <w:rFonts w:ascii="宋体" w:hAnsi="宋体" w:eastAsia="宋体"/>
                <w:b/>
                <w:sz w:val="21"/>
              </w:rPr>
              <w:t>不足与改进方向：</w:t>
            </w:r>
          </w:p>
          <w:p>
            <w:pPr>
              <w:spacing w:before="0" w:after="40" w:line="300" w:lineRule="auto"/>
              <w:ind w:firstLine="420"/>
            </w:pPr>
            <w:r>
              <w:rPr>
                <w:rFonts w:ascii="宋体" w:hAnsi="宋体" w:eastAsia="宋体"/>
                <w:b w:val="0"/>
                <w:sz w:val="21"/>
              </w:rPr>
              <w:t>1. 受真实情绪识别与脑电设备接口尚未开放的限制，当前主要以模拟数据验证功能，后续可对接真实设备进一步验证；</w:t>
            </w:r>
          </w:p>
          <w:p>
            <w:pPr>
              <w:spacing w:before="0" w:after="40" w:line="300" w:lineRule="auto"/>
              <w:ind w:firstLine="420"/>
            </w:pPr>
            <w:r>
              <w:rPr>
                <w:rFonts w:ascii="宋体" w:hAnsi="宋体" w:eastAsia="宋体"/>
                <w:b w:val="0"/>
                <w:sz w:val="21"/>
              </w:rPr>
              <w:t>2. 大模型生成时延为秒级，目前通过占位提示缓解等待感，后续可考虑改用流式输出进一步改善体验；</w:t>
            </w:r>
          </w:p>
          <w:p>
            <w:pPr>
              <w:spacing w:before="0" w:after="40" w:line="300" w:lineRule="auto"/>
              <w:ind w:firstLine="420"/>
            </w:pPr>
            <w:r>
              <w:rPr>
                <w:rFonts w:ascii="宋体" w:hAnsi="宋体" w:eastAsia="宋体"/>
                <w:b w:val="0"/>
                <w:sz w:val="21"/>
              </w:rPr>
              <w:t>3. 系统面向单机演示与内网试用，未实现用户鉴权，如需对外提供服务还需补充权限与安全机制。</w:t>
            </w:r>
          </w:p>
          <w:p>
            <w:pPr>
              <w:spacing w:before="0" w:after="40" w:line="300" w:lineRule="auto"/>
              <w:ind w:firstLine="420"/>
            </w:pPr>
            <w:r>
              <w:rPr>
                <w:rFonts w:ascii="宋体" w:hAnsi="宋体" w:eastAsia="宋体"/>
                <w:b w:val="0"/>
                <w:sz w:val="21"/>
              </w:rPr>
              <w:t>通过本次综合工程设计，小组成员在 WebSocket 实时通信、前后端分离开发、大模型接口调用与提示词设计、语音服务对接、异步编程与数据库设计等方面得到了较为完整的工程训练，也加深了对“网络通信＋人工智能”结合类系统的理解。</w:t>
            </w:r>
          </w:p>
        </w:tc>
      </w:tr>
    </w:tbl>
    <w:p w14:paraId="0930571F">
      <w:pPr>
        <w:jc w:val="left"/>
      </w:pPr>
    </w:p>
    <w:sectPr>
      <w:headerReference r:id="rId3" w:type="default"/>
      <w:footerReference r:id="rId4" w:type="default"/>
      <w:footerReference r:id="rId5" w:type="even"/>
      <w:pgSz w:w="11906" w:h="16838"/>
      <w:pgMar w:top="1440" w:right="1797" w:bottom="1440" w:left="1797" w:header="851" w:footer="992" w:gutter="0"/>
      <w:pgNumType w:start="0"/>
      <w:cols w:space="720" w:num="1"/>
      <w:titlePg/>
      <w:docGrid w:type="lines" w:linePitch="398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ABD4EA1">
    <w:pPr>
      <w:pStyle w:val="2"/>
      <w:framePr w:wrap="around" w:vAnchor="text" w:hAnchor="margin" w:xAlign="center" w:y="1"/>
      <w:rPr>
        <w:rStyle w:val="7"/>
      </w:rPr>
    </w:pPr>
    <w:r>
      <w:rPr>
        <w:rStyle w:val="7"/>
      </w:rPr>
      <w:fldChar w:fldCharType="begin"/>
    </w:r>
    <w:r>
      <w:rPr>
        <w:rStyle w:val="7"/>
      </w:rPr>
      <w:instrText xml:space="preserve">PAGE  </w:instrText>
    </w:r>
    <w:r>
      <w:rPr>
        <w:rStyle w:val="7"/>
      </w:rPr>
      <w:fldChar w:fldCharType="separate"/>
    </w:r>
    <w:r>
      <w:rPr>
        <w:rStyle w:val="7"/>
      </w:rPr>
      <w:t>1</w:t>
    </w:r>
    <w:r>
      <w:rPr>
        <w:rStyle w:val="7"/>
      </w:rPr>
      <w:fldChar w:fldCharType="end"/>
    </w:r>
  </w:p>
  <w:p w14:paraId="473E11A0">
    <w:pPr>
      <w:pStyle w:val="2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F3B71C4">
    <w:pPr>
      <w:pStyle w:val="2"/>
      <w:framePr w:wrap="around" w:vAnchor="text" w:hAnchor="margin" w:xAlign="center" w:y="1"/>
      <w:rPr>
        <w:rStyle w:val="7"/>
      </w:rPr>
    </w:pPr>
    <w:r>
      <w:rPr>
        <w:rStyle w:val="7"/>
      </w:rPr>
      <w:fldChar w:fldCharType="begin"/>
    </w:r>
    <w:r>
      <w:rPr>
        <w:rStyle w:val="7"/>
      </w:rPr>
      <w:instrText xml:space="preserve">PAGE  </w:instrText>
    </w:r>
    <w:r>
      <w:rPr>
        <w:rStyle w:val="7"/>
      </w:rPr>
      <w:fldChar w:fldCharType="end"/>
    </w:r>
  </w:p>
  <w:p w14:paraId="0BBB35EE">
    <w:pPr>
      <w:pStyle w:val="2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6259EE7">
    <w:pPr>
      <w:pStyle w:val="3"/>
    </w:pPr>
    <w:r>
      <w:rPr>
        <w:rFonts w:hint="eastAsia"/>
      </w:rPr>
      <w:t>西安电子科技大学计算机科学与技术学院综合工程设计报告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bordersDoNotSurroundHeader w:val="1"/>
  <w:bordersDoNotSurroundFooter w:val="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hyphenationZone w:val="360"/>
  <w:drawingGridVerticalSpacing w:val="156"/>
  <w:displayHorizontalDrawingGridEvery w:val="0"/>
  <w:displayVerticalDrawingGridEvery w:val="2"/>
  <w:characterSpacingControl w:val="compressPunctuation"/>
  <w:doNotValidateAgainstSchema/>
  <w:doNotDemarcateInvalidXml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M2Q2NTcxMzRkNTZlNWU1MTg4ZDFmMmM2MTUzODRlMDcifQ=="/>
  </w:docVars>
  <w:rsids>
    <w:rsidRoot w:val="00B47829"/>
    <w:rsid w:val="00482FDB"/>
    <w:rsid w:val="005A59F3"/>
    <w:rsid w:val="00705D08"/>
    <w:rsid w:val="008A42FA"/>
    <w:rsid w:val="008D3CDE"/>
    <w:rsid w:val="00B47829"/>
    <w:rsid w:val="00BE089B"/>
    <w:rsid w:val="05411248"/>
    <w:rsid w:val="0C6E5B92"/>
    <w:rsid w:val="12CC1C47"/>
    <w:rsid w:val="2C3B74EA"/>
    <w:rsid w:val="59730C9E"/>
    <w:rsid w:val="5EA12441"/>
    <w:rsid w:val="714F4D43"/>
    <w:rsid w:val="77775173"/>
    <w:rsid w:val="7D7B60EA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uiCompat97To2003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qFormat="1"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semiHidden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character" w:default="1" w:styleId="6">
    <w:name w:val="Default Paragraph Font"/>
    <w:qFormat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3">
    <w:name w:val="header"/>
    <w:basedOn w:val="1"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5">
    <w:name w:val="Table Grid"/>
    <w:basedOn w:val="4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7">
    <w:name w:val="page number"/>
    <w:basedOn w:val="6"/>
    <w:qFormat/>
    <w:uiPriority w:val="0"/>
  </w:style>
  <w:style w:type="character" w:customStyle="1" w:styleId="8">
    <w:name w:val="apple-converted-space"/>
    <w:basedOn w:val="6"/>
    <w:qFormat/>
    <w:uiPriority w:val="0"/>
  </w:style>
</w:style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footer" Target="footer2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</Template>
  <Company>微软中国</Company>
  <Pages>7</Pages>
  <Words>168</Words>
  <Characters>188</Characters>
  <Lines>4</Lines>
  <Paragraphs>1</Paragraphs>
  <TotalTime>2</TotalTime>
  <ScaleCrop>false</ScaleCrop>
  <LinksUpToDate>false</LinksUpToDate>
  <CharactersWithSpaces>383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2013-01-05T05:48:00Z</dcterms:created>
  <dc:creator>微软用户</dc:creator>
  <cp:lastModifiedBy>quantium</cp:lastModifiedBy>
  <dcterms:modified xsi:type="dcterms:W3CDTF">2026-09-19T03:33:08Z</dcterms:modified>
  <dc:title>西安电子科技大学</dc:title>
  <cp:revision>31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ICV">
    <vt:lpwstr>9924E98CF448420084F080498CCFA278_13</vt:lpwstr>
  </property>
  <property fmtid="{D5CDD505-2E9C-101B-9397-08002B2CF9AE}" pid="4" name="KSOTemplateDocerSaveRecord">
    <vt:lpwstr>eyJoZGlkIjoiZTRkMDFlMTg5Y2U1OGYxNWE0Y2Q5MDYxZjQ2NmQyMDIiLCJ1c2VySWQiOiI4MjIxMTc3In0=</vt:lpwstr>
  </property>
</Properties>
</file>