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。传统设计按建模的最坏情况确定外码强度。本课题前期实验曾观察到“稳态未见纠错事件”，但后续代码级复核发现外码解码器存在实现缺陷，该观测</w:t>
      </w:r>
      <w:r>
        <w:rPr>
          <w:rFonts w:hint="eastAsia"/>
          <w:b w:val="0"/>
          <w:bCs w:val="0"/>
          <w:sz w:val="24"/>
          <w:lang w:val="en-US" w:eastAsia="zh-CN"/>
        </w:rPr>
        <w:t>存在各项指标的混合问题，不应直观得出</w:t>
      </w:r>
      <w:r>
        <w:rPr>
          <w:rFonts w:ascii="Times New Roman" w:hAnsi="Times New Roman" w:eastAsia="宋体"/>
          <w:b w:val="0"/>
          <w:bCs w:val="0"/>
          <w:sz w:val="24"/>
        </w:rPr>
        <w:t>，相关结论撤回。LDPC 残差的真实统计特性，尚待以</w:t>
      </w:r>
      <w:r>
        <w:rPr>
          <w:rFonts w:hint="eastAsia"/>
          <w:b w:val="0"/>
          <w:bCs w:val="0"/>
          <w:sz w:val="24"/>
          <w:lang w:val="en-US" w:eastAsia="zh-CN"/>
        </w:rPr>
        <w:t>修改后</w:t>
      </w:r>
      <w:r>
        <w:rPr>
          <w:rFonts w:ascii="Times New Roman" w:hAnsi="Times New Roman" w:eastAsia="宋体"/>
          <w:b w:val="0"/>
          <w:bCs w:val="0"/>
          <w:sz w:val="24"/>
        </w:rPr>
        <w:t>的级联译码链路重新测量。如何依据实测残差统计而非模型假设来配置外码，并进一步依据信道状态自适应切换码率，是级联编码在 ISAC 场景下的新</w:t>
      </w:r>
      <w:r>
        <w:rPr>
          <w:rFonts w:ascii="Times New Roman" w:hAnsi="Times New Roman" w:eastAsia="宋体"/>
          <w:b w:val="0"/>
          <w:sz w:val="24"/>
        </w:rPr>
        <w:t>问题。</w:t>
      </w:r>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链路上实时视频传输的跨层优化（部分完成：容器、时延、调制已完成，外码部分重测中）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w:t>
      </w:r>
      <w:r>
        <w:rPr>
          <w:rFonts w:hint="eastAsia"/>
          <w:b w:val="0"/>
          <w:bCs w:val="0"/>
          <w:sz w:val="24"/>
          <w:lang w:val="en-US" w:eastAsia="zh-CN"/>
        </w:rPr>
        <w:t>错误</w:t>
      </w:r>
      <w:r>
        <w:rPr>
          <w:rFonts w:ascii="Times New Roman" w:hAnsi="Times New Roman" w:eastAsia="宋体"/>
          <w:b w:val="0"/>
          <w:bCs w:val="0"/>
          <w:sz w:val="24"/>
        </w:rPr>
        <w:t>，待改用 PRBS 比对重测；视频速率下的吞吐余量以重测结果为准。</w:t>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3（拟研究）：通信与感知的共存机制及微动感知延伸</w:t>
      </w:r>
    </w:p>
    <w:p w14:paraId="379580F7">
      <w:pPr>
        <w:ind w:firstLine="480"/>
      </w:pPr>
      <w:r>
        <w:rPr>
          <w:rFonts w:ascii="Times New Roman" w:hAnsi="Times New Roman" w:eastAsia="宋体"/>
          <w:b w:val="0"/>
          <w:bCs/>
          <w:sz w:val="24"/>
        </w:rPr>
        <w:t>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w:t>
      </w:r>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r>
        <w:rPr>
          <w:rFonts w:ascii="Times New Roman" w:hAnsi="Times New Roman" w:eastAsia="宋体"/>
          <w:b w:val="0"/>
          <w:bCs w:val="0"/>
          <w:sz w:val="24"/>
        </w:rPr>
        <w:t>共存层预期产出：一张“检测性能 vs 业务负载 / 资源配比”的对照图与一张折中表，作为研究内容 3 的主体结果；该结果同时为研究点 2 的自适应切换提供“业务代价”这一约束项。</w:t>
      </w:r>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时相位噪声远高于专用雷达条件下的相位误差抑制与长时相参积累稳定性问题。</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外码（自主实现，当前实现待</w:t>
      </w:r>
      <w:r>
        <w:rPr>
          <w:rFonts w:hint="eastAsia"/>
          <w:b w:val="0"/>
          <w:bCs w:val="0"/>
          <w:sz w:val="24"/>
          <w:lang w:val="en-US" w:eastAsia="zh-CN"/>
        </w:rPr>
        <w:t>改进</w:t>
      </w:r>
      <w:r>
        <w:rPr>
          <w:rFonts w:ascii="Times New Roman" w:hAnsi="Times New Roman" w:eastAsia="宋体"/>
          <w:b w:val="0"/>
          <w:bCs w:val="0"/>
          <w:sz w:val="24"/>
        </w:rPr>
        <w:t>）级联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相位噪声限制，心跳信号（毫米级体动）提取存在不确定性。对策：先以角反射器等强目标打通检测链路、标定平台检测门限，再开展共存对照实验；微动部分按递进目标设计（能力基线 → 呼吸率 → 双参数），前两级结果均足以支撑独立章节</w:t>
      </w:r>
      <w:bookmarkStart w:id="0" w:name="_GoBack"/>
      <w:bookmarkEnd w:id="0"/>
      <w:r>
        <w:rPr>
          <w:rFonts w:ascii="Times New Roman" w:hAnsi="Times New Roman" w:eastAsia="宋体"/>
          <w:b w:val="0"/>
          <w:bCs w:val="0"/>
          <w:sz w:val="24"/>
        </w:rPr>
        <w:t>；必要时引入研究点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