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 年 10 月</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commentRangeStart w:id="0"/>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commentRangeEnd w:id="0"/>
      <w: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362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 xml:space="preserve">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commentRangeStart w:id="1"/>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commentRangeEnd w:id="1"/>
      <w:r>
        <w:commentReference w:id="1"/>
      </w:r>
      <w:r>
        <w:rPr>
          <w:rFonts w:ascii="Times New Roman" w:hAnsi="Times New Roman" w:eastAsia="宋体"/>
          <w:b w:val="0"/>
          <w:sz w:val="24"/>
        </w:rPr>
        <w:t>问题。</w:t>
      </w:r>
      <w:commentRangeStart w:id="2"/>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commentReference w:id="2"/>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commentRangeStart w:id="400"/>
      <w:r>
        <w:rPr>
          <w:rFonts w:ascii="Times New Roman" w:hAnsi="Times New Roman" w:eastAsia="宋体"/>
          <w:b/>
          <w:sz w:val="24"/>
        </w:rPr>
        <w:t xml:space="preserve">研究内容 1：强编码 ISAC 链路上实时视频传输的跨层优化（部分完成：容器、时延、调制已完成，外码部分重测中）</w:t>
      </w:r>
      <w:commentRangeEnd w:id="400"/>
      <w:r>
        <w:commentReference w:id="400"/>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commentRangeStart w:id="3"/>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commentRangeEnd w:id="3"/>
      <w:r>
        <w:commentReference w:id="3"/>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commentRangeStart w:id="401"/>
      <w:r>
        <w:rPr>
          <w:rFonts w:ascii="Times New Roman" w:hAnsi="Times New Roman" w:eastAsia="宋体"/>
          <w:b w:val="0"/>
          <w:bCs/>
          <w:sz w:val="24"/>
        </w:rPr>
        <w:t xml:space="preserve">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译码器的伴随式正好兼具检测与纠错双重职能，这也是本研究必须在平台上引入外码（而非仅依赖强内码）的根本技术理由；该判据的实现目前正在修正（见补充说明）。</w:t>
      </w:r>
      <w:commentRangeEnd w:id="401"/>
      <w:r>
        <w:commentReference w:id="401"/>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7014"/>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commentRangeStart w:id="300"/>
      <w:r>
        <w:rPr>
          <w:rFonts w:ascii="Times New Roman" w:hAnsi="Times New Roman"/>
          <w:b/>
          <w:sz w:val="21"/>
        </w:rPr>
        <w:t xml:space="preserve">图 2　级联编码与分帧路径：2 字节长度前缀位于外码码字内部，是分帧完整性的保护点；无外码时前缀裸露，单比特错误即可导致整条字节流错位</w:t>
      </w:r>
      <w:commentRangeEnd w:id="300"/>
      <w:r>
        <w:commentReference w:id="300"/>
      </w:r>
    </w:p>
    <w:p w14:paraId="361DBB16">
      <w:pPr>
        <w:ind w:firstLine="480"/>
        <w:rPr>
          <w:b w:val="0"/>
          <w:bCs w:val="0"/>
        </w:rPr>
      </w:pPr>
      <w:commentRangeStart w:id="4"/>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commentRangeEnd w:id="4"/>
      <w:r>
        <w:commentReference w:id="4"/>
      </w:r>
      <w:commentRangeStart w:id="5"/>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5"/>
      <w:r>
        <w:commentReference w:id="5"/>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commentRangeStart w:id="6"/>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commentRangeEnd w:id="6"/>
      <w:r>
        <w:commentReference w:id="6"/>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commentRangeStart w:id="7"/>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commentRangeEnd w:id="7"/>
      <w:r>
        <w:commentReference w:id="7"/>
      </w:r>
    </w:p>
    <w:p w14:paraId="5E485B42">
      <w:pPr>
        <w:jc w:val="center"/>
      </w:pPr>
      <w:r>
        <w:drawing>
          <wp:inline distT="0" distB="0" distL="114300" distR="114300">
            <wp:extent cx="5168265" cy="267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commentRangeStart w:id="301"/>
      <w:r>
        <w:rPr>
          <w:rFonts w:ascii="Times New Roman" w:hAnsi="Times New Roman" w:eastAsia="宋体"/>
          <w:b w:val="0"/>
          <w:bCs/>
          <w:sz w:val="21"/>
          <w:szCs w:val="21"/>
        </w:rPr>
        <w:t xml:space="preserve">图 3　容器误码放大因子 γ：同一物理误码流下四种传输栈的实测对比（压力工况：关闭外码）</w:t>
      </w:r>
      <w:commentRangeEnd w:id="301"/>
      <w:r>
        <w:commentReference w:id="301"/>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8"/>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8"/>
      <w:r>
        <w:commentReference w:id="8"/>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commentRangeStart w:id="9"/>
      <w:commentRangeStart w:id="10"/>
      <w:commentRangeStart w:id="11"/>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commentRangeEnd w:id="9"/>
      <w:r>
        <w:commentReference w:id="9"/>
      </w:r>
      <w:commentRangeEnd w:id="10"/>
      <w:r>
        <w:commentReference w:id="10"/>
      </w:r>
      <w:commentRangeEnd w:id="11"/>
      <w:r>
        <w:commentReference w:id="11"/>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690"/>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 xml:space="preserve">图 4　非接触微动感知处理架构与相位灵敏度预算：λ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267896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168823" cy="2679252"/>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 xml:space="preserve">图 5　技术路线总图：三条研究内容共享同一平台，按“分帧—容器—缓冲 → 激活点 → 微动”递进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xml:space="preserve">- 波形与协议：OFDM 1024-FFT / CP 128 / 100 符号 / 50 MHz 采样率（帧长 2.304 ms，≈434 帧/s）；RS(255,K) 外码（自主实现，当前实现待替换）级联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pPr>
        <w:ind w:firstLine="480"/>
        <w:rPr>
          <w:b w:val="0"/>
          <w:bCs w:val="0"/>
        </w:rPr>
      </w:pPr>
      <w:r>
        <w:rPr>
          <w:b w:val="0"/>
          <w:bCs w:val="0"/>
        </w:rPr>
        <w:t xml:space="preserve">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commentRangeStart w:id="12"/>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commentRangeEnd w:id="12"/>
      <w:r>
        <w:commentReference w:id="12"/>
      </w:r>
    </w:p>
    <w:p w14:paraId="7B9F6A44">
      <w:pPr>
        <w:jc w:val="center"/>
      </w:pPr>
      <w:r>
        <w:drawing>
          <wp:inline distT="0" distB="0" distL="114300" distR="114300">
            <wp:extent cx="5168265" cy="193705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168823" cy="1937268"/>
                    </a:xfrm>
                    <a:prstGeom prst="rect">
                      <a:avLst/>
                    </a:prstGeom>
                  </pic:spPr>
                </pic:pic>
              </a:graphicData>
            </a:graphic>
          </wp:inline>
        </w:drawing>
      </w:r>
    </w:p>
    <w:p w14:paraId="28664B03">
      <w:pPr>
        <w:ind w:firstLine="480"/>
      </w:pPr>
      <w:commentRangeStart w:id="302"/>
      <w:r>
        <w:rPr>
          <w:rFonts w:ascii="Times New Roman" w:hAnsi="Times New Roman" w:eastAsia="宋体"/>
          <w:b/>
          <w:sz w:val="24"/>
        </w:rPr>
        <w:t xml:space="preserve">图 6　前期完成的端到端时延实测：(a) 五分钟采样轨迹（稳态 233–266 ms，无累积趋势）；(b) 时延分解（解码环节约占 80%）</w:t>
      </w:r>
      <w:commentRangeEnd w:id="302"/>
      <w:r>
        <w:commentReference w:id="302"/>
      </w:r>
    </w:p>
    <w:p>
      <w:pPr>
        <w:ind w:firstLine="480"/>
      </w:pPr>
      <w:commentRangeStart w:id="500"/>
      <w:r>
        <w:rPr>
          <w:rFonts w:ascii="Times New Roman" w:hAnsi="Times New Roman" w:eastAsia="宋体"/>
          <w:b w:val="0"/>
          <w:sz w:val="24"/>
        </w:rPr>
        <w:t xml:space="preserve">- 论文成果：基于研究点 1 的英文论文初稿已完成（《Least-Sufficient Protection: A Cross-Layer Experimental Study of Real-Time Video Transmission over an Open OFDM-ISAC Platform》）；因第三章外码结论撤回，拟按重测结果重写后投稿。</w:t>
      </w:r>
      <w:commentRangeEnd w:id="500"/>
      <w:r>
        <w:commentReference w:id="500"/>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w:t>
      </w:r>
      <w:bookmarkStart w:id="0" w:name="_GoBack"/>
      <w:bookmarkEnd w:id="0"/>
      <w:r>
        <w:rPr>
          <w:rFonts w:ascii="Times New Roman" w:hAnsi="Times New Roman" w:eastAsia="宋体"/>
          <w:b w:val="0"/>
          <w:sz w:val="24"/>
        </w:rPr>
        <w:t>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commentRangeStart w:id="402"/>
      <w:r>
        <w:rPr>
          <w:rFonts w:ascii="Times New Roman" w:hAnsi="Times New Roman" w:eastAsia="宋体"/>
          <w:b w:val="0"/>
          <w:sz w:val="24"/>
        </w:rPr>
        <w:t xml:space="preserve">：研究内容 1 收尾：补充 γ 实验的量化 BER 工作点记录、复核实验数据样本量与关键数值；完成外码实现替换与单元自检；完成小论文定稿与投稿；启动 RS 外码可重构化改造（研究内容 2 使能性工作）</w:t>
      </w:r>
      <w:commentRangeEnd w:id="402"/>
      <w:r>
        <w:commentReference w:id="402"/>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 xml:space="preserve">2. 英文期刊/会议论文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3"/>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commentRangeEnd w:id="13"/>
      <w:r>
        <w:commentReference w:id="13"/>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说明" w:date="2026-10-19T18:00:00Z" w:initials="修">
    <w:p w14:paraId="3175AFC0">
      <w:r>
        <w:t>【已更正】该编解码器在报告提交后的复核中被确认存在三处实现缺陷（码表初始化被函数级 static 门控、伴随式取向与编码器相反、纠错计数未累加），实际从未执行纠错。表述由“级联纠错能力”改为“级联编码链路”，并注明正在替换。详见《开题报告补充说明（第 1 号）》。</w:t>
      </w:r>
    </w:p>
  </w:comment>
  <w:comment w:id="1" w:author="修订说明" w:date="2026-10-19T18:00:00Z" w:initials="修">
    <w:p w14:paraId="66E69224">
      <w:r>
        <w:t>【结论撤回】“零纠错”观测来自一个从不纠错、且始终报告成功的解码器，因此不构成误码率上界。原文据此推出的 10⁻⁹ 量级一并撤回，残差统计改为待重测项。</w:t>
      </w:r>
    </w:p>
  </w:comment>
  <w:comment w:id="2" w:author="修订说明" w:date="2026-10-19T18:00:00Z" w:initials="修">
    <w:p w14:paraId="6C97EF8B">
      <w:r>
        <w:t>【论证调整】原“统计上界”论证建立在无效的零事件观测之上，已删除；保留“内码无收敛标志”这一技术理由，因为它与实现缺陷无关，仍然成立。</w:t>
      </w:r>
    </w:p>
  </w:comment>
  <w:comment w:id="3" w:author="修订说明" w:date="2026-10-19T18:00:00Z" w:initials="修">
    <w:p w14:paraId="1BE4DD63">
      <w:r>
        <w:t>【表述更正】两项“首个”中撤回其一：γ 的实测与建模保留；外码最小配置因数据无效撤回，改由研究内容 2 回答，避免继续主张未成立的结论。</w:t>
      </w:r>
    </w:p>
  </w:comment>
  <w:comment w:id="4" w:author="修订说明" w:date="2026-10-19T18:00:00Z" w:initials="修">
    <w:p w14:paraId="6E7B5CA5">
      <w:r>
        <w:t>【结论撤回】Pareto 最优与 8.4% 两项撤回：8.4% 为 223/191 的码率比推算，既未端到端实测，所依赖的实现也未生效。原“最小充分能力”准则不再作为结论，转为研究内容 2 的研究问题。</w:t>
      </w:r>
    </w:p>
  </w:comment>
  <w:comment w:id="5" w:author="修订说明" w:date="2026-10-19T18:00:00Z" w:initials="修">
    <w:p w14:paraId="7733F0A3">
      <w:r>
        <w:t>【前后一致】本段前半句已声明结论撤回，此句仍把“稳态零纠错”当作既成事实，故一并改写为条件式表述（“即便外码工作正常”）。</w:t>
      </w:r>
    </w:p>
  </w:comment>
  <w:comment w:id="6" w:author="修订说明" w:date="2026-10-19T18:00:00Z" w:initials="修">
    <w:p w14:paraId="11181BFB">
      <w:r>
        <w:t>【新增】原外码结论撤回后，研究内容 1 缺一个可验证的核心问题。建议以“分帧完整性”补位：长度前缀位于码字内部、无外码时不受保护，一处比特错误即可导致流级失步。该问题可由“变长前缀 vs 定长分片”两组对照实验直接验证，成本低、结论硬。</w:t>
      </w:r>
    </w:p>
  </w:comment>
  <w:comment w:id="7" w:author="修订说明" w:date="2026-10-19T18:00:00Z" w:initials="修">
    <w:p w14:paraId="007DBB06">
      <w:r>
        <w:t>【口径更正】该句与论文表 7 的 0.015% 自相矛盾；误差计数混入了测试载荷的头部字节，不能作为“零误码”的依据。仓库已有 PRBS 比对功能，重测即可。</w:t>
      </w:r>
    </w:p>
  </w:comment>
  <w:comment w:id="8" w:author="修订说明" w:date="2026-10-19T18:00:00Z" w:initials="修">
    <w:p w14:paraId="2BEAB760">
      <w:r>
        <w:t>【前提更正】“已证明过保护”依赖于已撤回的测量；改为“曾初步判断”并注明失效原因，使研究内容 2 的立论建立在“尚未测量”而非“已经证明”之上。</w:t>
      </w:r>
    </w:p>
  </w:comment>
  <w:comment w:id="9" w:author="修订说明" w:date="2026-10-19T18:00:00Z" w:initials="修">
    <w:p w14:paraId="29D85C50">
      <w:r>
        <w:t>【重算】心跳 0.2–0.5 mm 对应 0.026–0.065 rad。呼吸仍是送分题，心跳才是真正的难点，这一条决定研究内容 3 的目标分层。</w:t>
      </w:r>
    </w:p>
  </w:comment>
  <w:comment w:id="10" w:author="修订说明" w:date="2026-10-19T18:00:00Z" w:initials="修">
    <w:p w14:paraId="676BA4C1">
      <w:r>
        <w:t>【重算】按 λ=96.8 mm 重算：呼吸 4–8 mm 对应 0.52–1.04 rad（30°–60°）。</w:t>
      </w:r>
    </w:p>
  </w:comment>
  <w:comment w:id="11" w:author="修订说明" w:date="2026-10-19T18:00:00Z" w:initials="修">
    <w:p w14:paraId="6E984B63">
      <w:r>
        <w:t>【数值更正】载波频率与 5.2 节的 3.1 GHz 统一。</w:t>
      </w:r>
    </w:p>
  </w:comment>
  <w:comment w:id="12" w:author="修订说明" w:date="2026-10-19T18:00:00Z" w:initials="修">
    <w:p w14:paraId="397C8E1F">
      <w:r>
        <w:t>【状态更正】“已闭环”改为“部分闭环”：外码部分撤回；容器、时延、调制/码率/GOP/CP 四项数据有效。这一处决定答辩时“研究点 1 完成了什么”的口径。</w:t>
      </w:r>
    </w:p>
  </w:comment>
  <w:comment w:id="13" w:author="修订说明" w:date="2026-10-19T18:00:00Z" w:initials="修">
    <w:p w14:paraId="4A69D373">
      <w:r>
        <w:t>【指标调整】原“≥ 8%”依赖已撤回的测量。改为待激活点实验后给出，既保留指标位，又不承诺一个目前无法支撑的数字。</w:t>
      </w:r>
    </w:p>
  </w:comment>
  <w:comment w:id="300" w:author="修订说明" w:date="2026-10-19T18:45:00Z" w:initials="修">
    <w:p>
      <w:r>
        <w:t xml:space="preserve">【图题重写】原图把 RS 伴随式画成“残差判据点”，与修订后“外码实现存在缺陷、正在替换”的表述冲突。新图改为展示分帧元数据的位置与失效模式，与新增的“分帧完整性”子问题一致。</w:t>
      </w:r>
    </w:p>
  </w:comment>
  <w:comment w:id="301" w:author="修订说明" w:date="2026-10-19T18:45:00Z" w:initials="修">
    <w:p>
      <w:r>
        <w:t xml:space="preserve">【图题更正】“RS 外码禁用”改为“压力工况：关闭外码”，避免暗示外码此前在正常工作。</w:t>
      </w:r>
    </w:p>
  </w:comment>
  <w:comment w:id="302" w:author="修订说明" w:date="2026-10-19T18:45:00Z" w:initials="修">
    <w:p>
      <w:r>
        <w:t xml:space="preserve">【图题更正】“250.3 ± 0.5 ms”与秒表法 33 ms 的分辨率不符，改为实测区间 233–266 ms。</w:t>
      </w:r>
    </w:p>
  </w:comment>
  <w:comment w:id="400" w:author="修订说明" w:date="2026-10-19T21:10:00Z" w:initials="修">
    <w:p>
      <w:r>
        <w:t xml:space="preserve">【状态更正】"已基本完成"会与后文"外码结论撤回"直接冲突，改为分项说明完成度。这是评审最先看到的一行，必须与正文一致。</w:t>
      </w:r>
    </w:p>
  </w:comment>
  <w:comment w:id="401" w:author="修订说明" w:date="2026-10-19T21:10:00Z" w:initials="修">
    <w:p>
      <w:r>
        <w:t xml:space="preserve">【表述修正】原句断言"RS 伴随式是本链路唯一的在带内残差判据"，但该判据的实现正是本次发现缺陷之处，现状下并不存在。改为"设计上需要…正好承担"，并注明实现待修正，避免把设计意图说成既成事实。</w:t>
      </w:r>
    </w:p>
  </w:comment>
  <w:comment w:id="402" w:author="修订说明" w:date="2026-10-19T21:10:00Z" w:initials="修">
    <w:p>
      <w:r>
        <w:t xml:space="preserve">【计划补充】重测以"实现可用"为前提，必须先把替换与自检写进时间线，否则 2026.09–12 的任务无法落地。</w:t>
      </w:r>
    </w:p>
  </w:comment>
  <w:comment w:id="500" w:author="修订说明" w:date="2026-10-19T21:20:00Z" w:initials="修">
    <w:p>
      <w:r>
        <w:t xml:space="preserve">【状态更正】"已完成撰写、拟投"与"结论撤回"矛盾，改为"初稿已完成、待重测后重写投稿"。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75AFC0" w15:done="0"/>
  <w15:commentEx w15:paraId="66E69224" w15:done="0"/>
  <w15:commentEx w15:paraId="6C97EF8B" w15:done="0"/>
  <w15:commentEx w15:paraId="1BE4DD63" w15:done="0"/>
  <w15:commentEx w15:paraId="6E7B5CA5" w15:done="0"/>
  <w15:commentEx w15:paraId="7733F0A3" w15:done="0"/>
  <w15:commentEx w15:paraId="11181BFB" w15:done="0"/>
  <w15:commentEx w15:paraId="007DBB06" w15:done="0"/>
  <w15:commentEx w15:paraId="2BEAB760" w15:done="0"/>
  <w15:commentEx w15:paraId="29D85C50" w15:done="0"/>
  <w15:commentEx w15:paraId="676BA4C1" w15:done="0"/>
  <w15:commentEx w15:paraId="6E984B63" w15:done="0"/>
  <w15:commentEx w15:paraId="397C8E1F" w15:done="0"/>
  <w15:commentEx w15:paraId="4A69D3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订说明">
    <w15:presenceInfo w15:providerId="None" w15:userId="修订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9442</Words>
  <Characters>11232</Characters>
  <Lines>0</Lines>
  <Paragraphs>0</Paragraphs>
  <TotalTime>10</TotalTime>
  <ScaleCrop>false</ScaleCrop>
  <LinksUpToDate>false</LinksUpToDate>
  <CharactersWithSpaces>11950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