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8"/>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commentRangeStart w:id="0"/>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编码链路。该实现已于后续代码复核中确认存在缺陷，目前正在替换为成熟实现并建立单元自检（详见补充说明）。围绕该模块完成了外码冗余度扫描、容器脆弱性评估及多级缓冲队列优化等前期实验（详见第六节）。</w:t>
      </w:r>
      <w:commentRangeEnd w:id="0"/>
      <w:r>
        <w:commentReference w:id="0"/>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168265" cy="23628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168823" cy="2363116"/>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 xml:space="preserve">图 1　OpenISAC 平台上实时视频与雷达感知的系统拓扑：两条业务链共享同一 OFDM 波形</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commentRangeStart w:id="1"/>
      <w:r>
        <w:rPr>
          <w:rFonts w:ascii="Times New Roman" w:hAnsi="Times New Roman" w:eastAsia="宋体"/>
          <w:b w:val="0"/>
          <w:bCs w:val="0"/>
          <w:sz w:val="24"/>
        </w:rPr>
        <w:t>。传统设计按建模的最坏情况确定外码强度。本课题前期实验曾观察到“稳态未见纠错事件”，但后续代码级复核发现外码解码器存在实现缺陷、从未真正执行纠错，该观测不成立，相关结论已撤回（见补充说明）。LDPC 残差的真实统计特性，尚待以可用的级联译码链路重新测量。如何依据实测残差统计而非模型假设来配置外码，并进一步依据信道状态自适应切换码率，是级联编码在 ISAC 场景下的新</w:t>
      </w:r>
      <w:commentRangeEnd w:id="1"/>
      <w:r>
        <w:commentReference w:id="1"/>
      </w:r>
      <w:r>
        <w:rPr>
          <w:rFonts w:ascii="Times New Roman" w:hAnsi="Times New Roman" w:eastAsia="宋体"/>
          <w:b w:val="0"/>
          <w:sz w:val="24"/>
        </w:rPr>
        <w:t>问题。</w:t>
      </w:r>
      <w:commentRangeStart w:id="2"/>
      <w:r>
        <w:rPr>
          <w:rFonts w:ascii="Times New Roman" w:hAnsi="Times New Roman"/>
          <w:b w:val="0"/>
          <w:sz w:val="24"/>
        </w:rPr>
        <w:t>需强调，内码译码器不返回收敛标志、亦无逐码字校验，其误纠对上层呈现为静默错误——这是引入外码（而非仅依赖强内码）的技术理由。故外码在级联结构中的定位是瞬态与衰落条件下的兜底与检测，而非稳态可靠性；其作用的边界（何时开始产生纠正）需在本课题研究内容 2 中定量刻画。</w:t>
      </w:r>
      <w:commentRangeEnd w:id="2"/>
      <w:r>
        <w:commentReference w:id="2"/>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commentRangeStart w:id="400"/>
      <w:r>
        <w:rPr>
          <w:rFonts w:ascii="Times New Roman" w:hAnsi="Times New Roman" w:eastAsia="宋体"/>
          <w:b/>
          <w:sz w:val="24"/>
        </w:rPr>
        <w:t xml:space="preserve">研究内容 1：强编码 ISAC 链路上实时视频传输的跨层优化（部分完成：容器、时延、调制已完成，外码部分重测中）</w:t>
      </w:r>
      <w:commentRangeEnd w:id="400"/>
      <w:r>
        <w:commentReference w:id="400"/>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commentRangeStart w:id="3"/>
      <w:r>
        <w:rPr>
          <w:rFonts w:ascii="Times New Roman" w:hAnsi="Times New Roman" w:eastAsia="宋体"/>
          <w:b w:val="0"/>
          <w:bCs/>
          <w:sz w:val="24"/>
        </w:rPr>
        <w:t>）的评估均以感知精度或链路吞吐为指标，无一研究连续媒体业务在真实 ISAC 链路上的端到端表现。本研究对 ISAC 链路上视频容器放大因子 γ 进行了实测与建模；外码最小充分配置的确定因实现缺陷转入重测，改由研究内容 2 的激活点曲线回答。</w:t>
      </w:r>
      <w:commentRangeEnd w:id="3"/>
      <w:r>
        <w:commentReference w:id="3"/>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5C3B3696">
      <w:pPr>
        <w:ind w:firstLine="480"/>
        <w:rPr>
          <w:b w:val="0"/>
          <w:bCs w:val="0"/>
        </w:rPr>
      </w:pPr>
      <w:r>
        <w:rPr>
          <w:rFonts w:ascii="Times New Roman" w:hAnsi="Times New Roman" w:eastAsia="宋体"/>
          <w:b w:val="0"/>
          <w:bCs/>
          <w:sz w:val="24"/>
        </w:rPr>
        <w:t>- 接收侧级联译码链的设计与实现：外码的引入同时要求接收链路补上对应的译码级。本课题在解调器中实现了“解交织/软解扰 → LDPC 内码软译码 → RS 外码译码 → 载荷还原”的级联译码流：(1) 译码顺序与符号对齐——外码每个 GF(2⁸) 符号由内码译出的 8 个比特组成，故必须先完成 LDPC 软译码再进入 RS 译码；接收侧按 N=255 字节整块逐块译码，块边界不整即判失败。(2) 三级不可纠判决——伴随式全零判为无错；Berlekamp-Massey 得到的多项式次数超过纠错能力 T 判为不可纠；Chien 搜索根数与次数不符判为不可纠（抑制误纠）。任一码块不可纠则整包判失败。(3) 失败回退——RS 判不可纠时采取“不丢包、降级投递”：以 LDPC 硬判决输出的前 payload_len 字节直送视频解码器，交由 H.264 容错解码器遮错；因此本文的失败统计口径明确为 RS 不可纠率（fail_rate），而非画面丢失率。(4) 载荷边界还原——原始载荷长度以 2 字节前缀随数据一并受 RS 保护，译码后依前缀截取，从而在零填充分块下正确还原变长 UDP 载荷；头部另设重复区对长度字段做一致性校验，不一致则丢弃该帧。</w:t>
      </w:r>
    </w:p>
    <w:p w14:paraId="50FE4BD0">
      <w:pPr>
        <w:ind w:firstLine="480"/>
        <w:rPr>
          <w:b w:val="0"/>
          <w:bCs w:val="0"/>
        </w:rPr>
      </w:pPr>
      <w:commentRangeStart w:id="401"/>
      <w:r>
        <w:rPr>
          <w:rFonts w:ascii="Times New Roman" w:hAnsi="Times New Roman" w:eastAsia="宋体"/>
          <w:b w:val="0"/>
          <w:bCs/>
          <w:sz w:val="24"/>
        </w:rPr>
        <w:t xml:space="preserve">需特别指出：内码译码器既不返回收敛标志、也无逐码字校验，其误纠对上层是静默的。因此设计上需要一个在带内的残差判据——RS 译码器的伴随式正好兼具检测与纠错双重职能，这也是本研究必须在平台上引入外码（而非仅依赖强内码）的根本技术理由；该判据的实现目前正在修正（见补充说明）。</w:t>
      </w:r>
      <w:commentRangeEnd w:id="401"/>
      <w:r>
        <w:commentReference w:id="401"/>
      </w:r>
      <w:r>
        <w:rPr>
          <w:rFonts w:ascii="Times New Roman" w:hAnsi="Times New Roman" w:eastAsia="宋体"/>
          <w:b w:val="0"/>
          <w:bCs w:val="0"/>
          <w:sz w:val="24"/>
        </w:rPr>
        <w:t>级联编解码结构与分帧元数据的位置如图 2 所示。</w:t>
      </w:r>
    </w:p>
    <w:p w14:paraId="4680AE9E">
      <w:pPr>
        <w:ind w:firstLine="480"/>
        <w:jc w:val="center"/>
        <w:rPr>
          <w:b w:val="0"/>
          <w:bCs w:val="0"/>
        </w:rPr>
      </w:pPr>
      <w:r>
        <w:drawing>
          <wp:inline distT="0" distB="0" distL="114300" distR="114300">
            <wp:extent cx="5168265" cy="2837014"/>
            <wp:effectExtent l="0" t="0" r="133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168823" cy="2837320"/>
                    </a:xfrm>
                    <a:prstGeom prst="rect">
                      <a:avLst/>
                    </a:prstGeom>
                  </pic:spPr>
                </pic:pic>
              </a:graphicData>
            </a:graphic>
          </wp:inline>
        </w:drawing>
      </w:r>
    </w:p>
    <w:p w14:paraId="0970970F">
      <w:pPr>
        <w:ind w:firstLine="480"/>
        <w:jc w:val="center"/>
        <w:rPr>
          <w:sz w:val="21"/>
          <w:szCs w:val="21"/>
        </w:rPr>
      </w:pPr>
      <w:commentRangeStart w:id="300"/>
      <w:r>
        <w:rPr>
          <w:rFonts w:ascii="Times New Roman" w:hAnsi="Times New Roman"/>
          <w:b/>
          <w:sz w:val="21"/>
        </w:rPr>
        <w:t xml:space="preserve">图 2　级联编码与分帧路径：2 字节长度前缀位于外码码字内部，是分帧完整性的保护点；无外码时前缀裸露，单比特错误即可导致整条字节流错位</w:t>
      </w:r>
      <w:commentRangeEnd w:id="300"/>
      <w:r>
        <w:commentReference w:id="300"/>
      </w:r>
    </w:p>
    <w:p w14:paraId="361DBB16">
      <w:pPr>
        <w:ind w:firstLine="480"/>
        <w:rPr>
          <w:b w:val="0"/>
          <w:bCs w:val="0"/>
        </w:rPr>
      </w:pPr>
      <w:commentRangeStart w:id="4"/>
      <w:r>
        <w:rPr>
          <w:rFonts w:ascii="Times New Roman" w:hAnsi="Times New Roman" w:eastAsia="宋体"/>
          <w:b w:val="0"/>
          <w:bCs w:val="0"/>
          <w:sz w:val="24"/>
        </w:rPr>
        <w:t>- 外码冗余的 Pareto 分析：对上述四档配置（K=223/207/191/179，冗余 14.3%–42.5%）在真实空口链路上进行系统扫描。该组结论已撤回：复核发现外码解码器执行纠错</w:t>
      </w:r>
      <w:r>
        <w:rPr>
          <w:rFonts w:hint="eastAsia"/>
          <w:b w:val="0"/>
          <w:bCs w:val="0"/>
          <w:sz w:val="24"/>
          <w:lang w:val="en-US" w:eastAsia="zh-CN"/>
        </w:rPr>
        <w:t>链路存在问题</w:t>
      </w:r>
      <w:r>
        <w:rPr>
          <w:rFonts w:ascii="Times New Roman" w:hAnsi="Times New Roman" w:eastAsia="宋体"/>
          <w:b w:val="0"/>
          <w:bCs w:val="0"/>
          <w:sz w:val="24"/>
        </w:rPr>
        <w:t>，“稳态零纠错”来自实现缺陷而非链路特性；RS(255,223) 的 8.4% 吞吐增益</w:t>
      </w:r>
      <w:r>
        <w:rPr>
          <w:rFonts w:hint="eastAsia"/>
          <w:b w:val="0"/>
          <w:bCs w:val="0"/>
          <w:sz w:val="24"/>
          <w:lang w:val="en-US" w:eastAsia="zh-CN"/>
        </w:rPr>
        <w:t>为根据</w:t>
      </w:r>
      <w:r>
        <w:rPr>
          <w:rFonts w:ascii="Times New Roman" w:hAnsi="Times New Roman" w:eastAsia="宋体"/>
          <w:b w:val="0"/>
          <w:bCs w:val="0"/>
          <w:sz w:val="24"/>
        </w:rPr>
        <w:t>码率比推算、未经端到端实测。原设“外码只需覆盖内码残差上界”的准则暂不作为结论，改由研究内容 2 的激活点曲线判定。</w:t>
      </w:r>
      <w:commentRangeEnd w:id="4"/>
      <w:r>
        <w:commentReference w:id="4"/>
      </w:r>
      <w:commentRangeStart w:id="5"/>
      <w:r>
        <w:rPr>
          <w:rFonts w:ascii="Times New Roman" w:hAnsi="Times New Roman"/>
          <w:b w:val="0"/>
          <w:sz w:val="24"/>
        </w:rPr>
        <w:t>需说明，即便外码工作正常，四档配置在良好 SNR 下也可能等价，此时 Pareto 前沿由吞吐损失单维决定，必然指向最轻档位；外码的真实作用域是启动锁定、深衰落与遮挡等非稳态条件。因此“外码何时开始起作用”（激活点）不由稳态计数刻画，而由衰减条件下的纠错/不可纠事件率刻画；该问题连同四档配置的激活点曲线，一并在研究内容 2 的受控衰减扫描中给出，本研究内容不为此新增实验。</w:t>
      </w:r>
      <w:commentRangeEnd w:id="5"/>
      <w:r>
        <w:commentReference w:id="5"/>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52D7BE64">
      <w:pPr>
        <w:ind w:firstLine="480"/>
        <w:rPr>
          <w:b w:val="0"/>
          <w:bCs w:val="0"/>
        </w:rPr>
      </w:pPr>
      <w:commentRangeStart w:id="6"/>
      <w:r>
        <w:rPr>
          <w:b w:val="0"/>
          <w:bCs w:val="0"/>
        </w:rPr>
        <w:t>分帧完整性的作用定位（新增）：</w:t>
      </w:r>
      <w:r>
        <w:rPr>
          <w:rFonts w:hint="eastAsia"/>
          <w:b w:val="0"/>
          <w:bCs w:val="0"/>
          <w:lang w:val="en-US" w:eastAsia="zh-CN"/>
        </w:rPr>
        <w:t>在纠错过程</w:t>
      </w:r>
      <w:r>
        <w:rPr>
          <w:b w:val="0"/>
          <w:bCs w:val="0"/>
        </w:rPr>
        <w:t>中发现，接收端用于切分 UDP 载荷的 2 字节长度前缀位于外码码字内部；不设外码时该前缀不受保护，一处比特错误即可导致整条字节流错位。据此提出一个问题：在强内码链路上，视频业务的约束究竟来自纠错强度，还是来自分帧元数据的完整性？拟以“变长前缀 + 无外码”与“定长分片 + 无外码”两组对照实验回答。</w:t>
      </w:r>
      <w:commentRangeEnd w:id="6"/>
      <w:r>
        <w:commentReference w:id="6"/>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commentRangeStart w:id="7"/>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μs）的最小可行保护间隔；BER–速率扫描的误差计数含测试脚本伪错，待改用 PRBS 比对重测；视频速率下的吞吐余量以重测结果为准。</w:t>
      </w:r>
      <w:commentRangeEnd w:id="7"/>
      <w:r>
        <w:commentReference w:id="7"/>
      </w:r>
    </w:p>
    <w:p w14:paraId="5E485B42">
      <w:pPr>
        <w:jc w:val="center"/>
      </w:pPr>
      <w:r>
        <w:drawing>
          <wp:inline distT="0" distB="0" distL="114300" distR="114300">
            <wp:extent cx="5168265" cy="26722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68823" cy="2672533"/>
                    </a:xfrm>
                    <a:prstGeom prst="rect">
                      <a:avLst/>
                    </a:prstGeom>
                  </pic:spPr>
                </pic:pic>
              </a:graphicData>
            </a:graphic>
          </wp:inline>
        </w:drawing>
      </w:r>
    </w:p>
    <w:p w14:paraId="13F9D03A">
      <w:pPr>
        <w:ind w:firstLine="480"/>
        <w:rPr>
          <w:b w:val="0"/>
          <w:bCs/>
          <w:sz w:val="21"/>
          <w:szCs w:val="21"/>
        </w:rPr>
      </w:pPr>
      <w:commentRangeStart w:id="301"/>
      <w:r>
        <w:rPr>
          <w:rFonts w:ascii="Times New Roman" w:hAnsi="Times New Roman" w:eastAsia="宋体"/>
          <w:b w:val="0"/>
          <w:bCs/>
          <w:sz w:val="21"/>
          <w:szCs w:val="21"/>
        </w:rPr>
        <w:t xml:space="preserve">图 3　容器误码放大因子 γ：同一物理误码流下四种传输栈的实测对比（压力工况：关闭外码）</w:t>
      </w:r>
      <w:commentRangeEnd w:id="301"/>
      <w:r>
        <w:commentReference w:id="301"/>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commentRangeStart w:id="8"/>
      <w:r>
        <w:rPr>
          <w:rFonts w:ascii="Times New Roman" w:hAnsi="Times New Roman" w:eastAsia="宋体"/>
          <w:b w:val="0"/>
          <w:bCs/>
          <w:sz w:val="24"/>
        </w:rPr>
        <w:t>- 拟研究问题：本部分回答两个相互衔接的问题。(1) 外码的必要性边界：研究点 1 曾初步判断固定 RS(255,223) 在实验室稳态 SNR 下可能“过保护”，但该判断因外码实现缺陷而失效——四档配置的差异从未被真实测量。外码究竟在何种 SNR 区段开始产生纠正（即级联结构的“激活点”），决定了外码的真实边界与必要性，这是研究点 1 未覆盖、需在本部分回答的问题。(2) 在线码率选择：当信道条件随距离/遮挡/干扰变化时，如何依据实时信噪比与残差统计量在线选择码率参数，使链路在吞吐与可靠性之间保持最优。</w:t>
      </w:r>
      <w:commentRangeEnd w:id="8"/>
      <w:r>
        <w:commentReference w:id="8"/>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3C5AF265">
      <w:pPr>
        <w:ind w:firstLine="480"/>
        <w:rPr>
          <w:b w:val="0"/>
          <w:bCs/>
        </w:rPr>
      </w:pPr>
      <w:r>
        <w:rPr>
          <w:rFonts w:ascii="Times New Roman" w:hAnsi="Times New Roman" w:eastAsia="宋体"/>
          <w:b w:val="0"/>
          <w:bCs/>
          <w:sz w:val="24"/>
        </w:rPr>
        <w:t xml:space="preserve">  - 外码激活点的二维刻画（回答拟研究问题 1）：在受控衰减扫描（0–20 dB）下，同步记录四档配置（K=223/207/191/179）的纠错事件数、不可纠事件数与有效吞吐，绘出“SNR–纠错事件率”曲线，确定各档位的激活点、工作区段与最优切换区段。该数据既回答研究点 1 遗留的边界问题，又构成下文映射模型的直接输入，故不构成额外实验负担。</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commentRangeStart w:id="9"/>
      <w:commentRangeStart w:id="10"/>
      <w:commentRangeStart w:id="11"/>
      <w:r>
        <w:rPr>
          <w:rFonts w:ascii="Times New Roman" w:hAnsi="Times New Roman" w:eastAsia="宋体"/>
          <w:b w:val="0"/>
          <w:bCs w:val="0"/>
          <w:sz w:val="24"/>
        </w:rPr>
        <w:t>- 相位灵敏度预算（定量前提）：在 3.1 GHz 载波下波长 λ≈96.8 mm，胸壁往返位移 d 引起的相位变化为 Δφ = 4πd/λ。呼吸引起的胸壁位移约 4–8 mm，对应 Δφ ≈ 0.52–1.04 rad（30°–60°），量级充裕；心跳引起的胸壁位移约 0.2–0.5 mm，对应 Δφ ≈ 0.026–0.065 rad（1.5°–3.7°），这才是真正受限于系统相位噪声底的部分，也是目标 C 必须先标定的原因。</w:t>
      </w:r>
      <w:commentRangeEnd w:id="9"/>
      <w:r>
        <w:commentReference w:id="9"/>
      </w:r>
      <w:commentRangeEnd w:id="10"/>
      <w:r>
        <w:commentReference w:id="10"/>
      </w:r>
      <w:commentRangeEnd w:id="11"/>
      <w:r>
        <w:commentReference w:id="11"/>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近载波相噪无效）。处理流程与相位灵敏度预算如图 4 所示。</w:t>
      </w:r>
    </w:p>
    <w:p w14:paraId="05123C93">
      <w:pPr>
        <w:ind w:firstLine="480"/>
        <w:jc w:val="center"/>
        <w:rPr>
          <w:b w:val="0"/>
          <w:bCs w:val="0"/>
        </w:rPr>
      </w:pPr>
      <w:r>
        <w:drawing>
          <wp:inline distT="0" distB="0" distL="114300" distR="114300">
            <wp:extent cx="5168265" cy="2295690"/>
            <wp:effectExtent l="0" t="0" r="133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68823" cy="2295937"/>
                    </a:xfrm>
                    <a:prstGeom prst="rect">
                      <a:avLst/>
                    </a:prstGeom>
                  </pic:spPr>
                </pic:pic>
              </a:graphicData>
            </a:graphic>
          </wp:inline>
        </w:drawing>
      </w:r>
    </w:p>
    <w:p w14:paraId="62876B72">
      <w:pPr>
        <w:ind w:firstLine="480"/>
        <w:jc w:val="center"/>
        <w:rPr>
          <w:sz w:val="21"/>
          <w:szCs w:val="21"/>
        </w:rPr>
      </w:pPr>
      <w:r>
        <w:rPr>
          <w:rFonts w:ascii="Times New Roman" w:hAnsi="Times New Roman"/>
          <w:b/>
          <w:sz w:val="21"/>
        </w:rPr>
        <w:t xml:space="preserve">图 4　非接触微动感知处理架构与相位灵敏度预算：λ = 96.8 mm @ 3.1 GHz；呼吸 0.52–1.04 rad，心跳 0.026–0.065 rad</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r>
        <w:rPr>
          <w:rFonts w:ascii="Times New Roman" w:hAnsi="Times New Roman"/>
          <w:b w:val="0"/>
          <w:sz w:val="24"/>
        </w:rPr>
        <w:t>其中“充分”的判据是覆盖实测残差的统计上界、而非消除全部误码；该判据的完整刻画需二维评估——良好 SNR 下的吞吐损失与衰落条件下的激活点位置，二者共同界定外码的必要性与最优档位。</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5]</w:t>
      </w:r>
    </w:p>
    <w:p w14:paraId="707231FF">
      <w:pPr>
        <w:jc w:val="center"/>
      </w:pPr>
      <w:r>
        <w:drawing>
          <wp:inline distT="0" distB="0" distL="114300" distR="114300">
            <wp:extent cx="5168265" cy="2678963"/>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168823" cy="2679252"/>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 xml:space="preserve">图 5　技术路线总图：三条研究内容共享同一平台，按“分帧—容器—缓冲 → 激活点 → 微动”递进</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xml:space="preserve">- 波形与协议：OFDM 1024-FFT / CP 128 / 100 符号 / 50 MHz 采样率（帧长 2.304 ms，≈434 帧/s）；RS(255,K) 外码（自主实现，当前实现待替换）级联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pPr>
        <w:ind w:firstLine="480"/>
        <w:rPr>
          <w:b w:val="0"/>
          <w:bCs w:val="0"/>
        </w:rPr>
      </w:pPr>
      <w:r>
        <w:rPr>
          <w:b w:val="0"/>
          <w:bCs w:val="0"/>
        </w:rPr>
        <w:t xml:space="preserve">1. RS 外码参数的可重构化（前置条件：先完成编解码器替换与单元自检）：将当前以编译期常量固定的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commentRangeStart w:id="12"/>
      <w:r>
        <w:rPr>
          <w:rFonts w:ascii="Times New Roman" w:hAnsi="Times New Roman" w:eastAsia="宋体"/>
          <w:b w:val="0"/>
          <w:bCs/>
          <w:sz w:val="24"/>
        </w:rPr>
        <w:t>- 研究点 1 实验数据（部分闭环）：容器放大因子四方案实测、队列优化前后 5 分钟延迟轨迹、调制/码率/GOP/CP 对比实验——以上数据已整理为 5 图 7 表（代表性结果见图 6）。RS 四配置 Pareto 扫描因外码实现缺陷撤回，待替换实现后重测。</w:t>
      </w:r>
      <w:commentRangeEnd w:id="12"/>
      <w:r>
        <w:commentReference w:id="12"/>
      </w:r>
    </w:p>
    <w:p w14:paraId="7B9F6A44">
      <w:pPr>
        <w:jc w:val="center"/>
      </w:pPr>
      <w:r>
        <w:drawing>
          <wp:inline distT="0" distB="0" distL="114300" distR="114300">
            <wp:extent cx="5168265" cy="193705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168823" cy="1937268"/>
                    </a:xfrm>
                    <a:prstGeom prst="rect">
                      <a:avLst/>
                    </a:prstGeom>
                  </pic:spPr>
                </pic:pic>
              </a:graphicData>
            </a:graphic>
          </wp:inline>
        </w:drawing>
      </w:r>
    </w:p>
    <w:p w14:paraId="28664B03">
      <w:pPr>
        <w:ind w:firstLine="480"/>
      </w:pPr>
      <w:commentRangeStart w:id="302"/>
      <w:r>
        <w:rPr>
          <w:rFonts w:ascii="Times New Roman" w:hAnsi="Times New Roman" w:eastAsia="宋体"/>
          <w:b/>
          <w:sz w:val="24"/>
        </w:rPr>
        <w:t xml:space="preserve">图 6　前期完成的端到端时延实测：(a) 五分钟采样轨迹（稳态 233–266 ms，无累积趋势）；(b) 时延分解（解码环节约占 80%）</w:t>
      </w:r>
      <w:commentRangeEnd w:id="302"/>
      <w:r>
        <w:commentReference w:id="302"/>
      </w:r>
    </w:p>
    <w:p>
      <w:pPr>
        <w:ind w:firstLine="480"/>
      </w:pPr>
      <w:commentRangeStart w:id="500"/>
      <w:r>
        <w:rPr>
          <w:rFonts w:ascii="Times New Roman" w:hAnsi="Times New Roman" w:eastAsia="宋体"/>
          <w:b w:val="0"/>
          <w:sz w:val="24"/>
        </w:rPr>
        <w:t xml:space="preserve">- 论文成果：基于研究点 1 的英文论文初稿已完成撰写（《Least-Sufficient Protection: A Cross-Layer Experimental Study of Real-Time Video Transmission over an Open OFDM-ISAC Platform》，；因第三章外码结论撤回，拟按重测结果重写后投稿。</w:t>
      </w:r>
      <w:commentRangeEnd w:id="500"/>
      <w:r>
        <w:commentReference w:id="500"/>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w:t>
      </w:r>
      <w:bookmarkStart w:id="0" w:name="_GoBack"/>
      <w:bookmarkEnd w:id="0"/>
      <w:r>
        <w:rPr>
          <w:rFonts w:ascii="Times New Roman" w:hAnsi="Times New Roman" w:eastAsia="宋体"/>
          <w:b w:val="0"/>
          <w:sz w:val="24"/>
        </w:rPr>
        <w:t>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commentRangeStart w:id="402"/>
      <w:r>
        <w:rPr>
          <w:rFonts w:ascii="Times New Roman" w:hAnsi="Times New Roman" w:eastAsia="宋体"/>
          <w:b w:val="0"/>
          <w:sz w:val="24"/>
        </w:rPr>
        <w:t xml:space="preserve">：研究内容 1 收尾：补充 γ 实验的量化 BER 工作点记录、复核实验数据样本量与关键数值；完成外码实现替换与单元自检；完成小论文定稿与投稿；启动 RS 外码可重构化改造（研究内容 2 使能性工作）</w:t>
      </w:r>
      <w:commentRangeEnd w:id="402"/>
      <w:r>
        <w:commentReference w:id="402"/>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r>
        <w:rPr>
          <w:rFonts w:ascii="Times New Roman" w:hAnsi="Times New Roman"/>
          <w:b w:val="0"/>
          <w:sz w:val="24"/>
        </w:rPr>
        <w:t>同期在受控衰减扫描中完成四档外码的激活点曲线刻画（研究内容 2 的基线数据，不新增实验量）。</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 xml:space="preserve">2. 英文期刊/会议论文 1–2 篇（研究点 1 初稿已完成、待重测后重写投稿；研究点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commentRangeStart w:id="13"/>
      <w:r>
        <w:rPr>
          <w:rFonts w:ascii="Times New Roman" w:hAnsi="Times New Roman" w:eastAsia="宋体"/>
          <w:b w:val="0"/>
          <w:sz w:val="24"/>
        </w:rPr>
        <w:t xml:space="preserve">   - 研究点 1：端到端延迟 ≤ 300 ms 且 10 分钟内无累积趋势；视频速率下有效载荷误码率 ≤ 10⁻⁶；外码档位的吞吐收益待激活点实验后给出；</w:t>
      </w:r>
      <w:commentRangeEnd w:id="13"/>
      <w:r>
        <w:commentReference w:id="13"/>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r>
        <w:rPr>
          <w:rFonts w:ascii="Times New Roman" w:hAnsi="Times New Roman"/>
          <w:b w:val="0"/>
          <w:sz w:val="24"/>
        </w:rPr>
        <w:t>给出四档外码的激活点曲线与最优切换区段；</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修订说明" w:date="2026-10-19T18:00:00Z" w:initials="修">
    <w:p w14:paraId="3175AFC0">
      <w:r>
        <w:t>【已更正】该编解码器在报告提交后的复核中被确认存在三处实现缺陷（码表初始化被函数级 static 门控、伴随式取向与编码器相反、纠错计数未累加），实际从未执行纠错。表述由“级联纠错能力”改为“级联编码链路”，并注明正在替换。详见《开题报告补充说明（第 1 号）》。</w:t>
      </w:r>
    </w:p>
  </w:comment>
  <w:comment w:id="1" w:author="修订说明" w:date="2026-10-19T18:00:00Z" w:initials="修">
    <w:p w14:paraId="66E69224">
      <w:r>
        <w:t>【结论撤回】“零纠错”观测来自一个从不纠错、且始终报告成功的解码器，因此不构成误码率上界。原文据此推出的 10⁻⁹ 量级一并撤回，残差统计改为待重测项。</w:t>
      </w:r>
    </w:p>
  </w:comment>
  <w:comment w:id="2" w:author="修订说明" w:date="2026-10-19T18:00:00Z" w:initials="修">
    <w:p w14:paraId="6C97EF8B">
      <w:r>
        <w:t>【论证调整】原“统计上界”论证建立在无效的零事件观测之上，已删除；保留“内码无收敛标志”这一技术理由，因为它与实现缺陷无关，仍然成立。</w:t>
      </w:r>
    </w:p>
  </w:comment>
  <w:comment w:id="3" w:author="修订说明" w:date="2026-10-19T18:00:00Z" w:initials="修">
    <w:p w14:paraId="1BE4DD63">
      <w:r>
        <w:t>【表述更正】两项“首个”中撤回其一：γ 的实测与建模保留；外码最小配置因数据无效撤回，改由研究内容 2 回答，避免继续主张未成立的结论。</w:t>
      </w:r>
    </w:p>
  </w:comment>
  <w:comment w:id="4" w:author="修订说明" w:date="2026-10-19T18:00:00Z" w:initials="修">
    <w:p w14:paraId="6E7B5CA5">
      <w:r>
        <w:t>【结论撤回】Pareto 最优与 8.4% 两项撤回：8.4% 为 223/191 的码率比推算，既未端到端实测，所依赖的实现也未生效。原“最小充分能力”准则不再作为结论，转为研究内容 2 的研究问题。</w:t>
      </w:r>
    </w:p>
  </w:comment>
  <w:comment w:id="5" w:author="修订说明" w:date="2026-10-19T18:00:00Z" w:initials="修">
    <w:p w14:paraId="7733F0A3">
      <w:r>
        <w:t>【前后一致】本段前半句已声明结论撤回，此句仍把“稳态零纠错”当作既成事实，故一并改写为条件式表述（“即便外码工作正常”）。</w:t>
      </w:r>
    </w:p>
  </w:comment>
  <w:comment w:id="6" w:author="修订说明" w:date="2026-10-19T18:00:00Z" w:initials="修">
    <w:p w14:paraId="11181BFB">
      <w:r>
        <w:t>【新增】原外码结论撤回后，研究内容 1 缺一个可验证的核心问题。建议以“分帧完整性”补位：长度前缀位于码字内部、无外码时不受保护，一处比特错误即可导致流级失步。该问题可由“变长前缀 vs 定长分片”两组对照实验直接验证，成本低、结论硬。</w:t>
      </w:r>
    </w:p>
  </w:comment>
  <w:comment w:id="7" w:author="修订说明" w:date="2026-10-19T18:00:00Z" w:initials="修">
    <w:p w14:paraId="007DBB06">
      <w:r>
        <w:t>【口径更正】该句与论文表 7 的 0.015% 自相矛盾；误差计数混入了测试载荷的头部字节，不能作为“零误码”的依据。仓库已有 PRBS 比对功能，重测即可。</w:t>
      </w:r>
    </w:p>
  </w:comment>
  <w:comment w:id="8" w:author="修订说明" w:date="2026-10-19T18:00:00Z" w:initials="修">
    <w:p w14:paraId="2BEAB760">
      <w:r>
        <w:t>【前提更正】“已证明过保护”依赖于已撤回的测量；改为“曾初步判断”并注明失效原因，使研究内容 2 的立论建立在“尚未测量”而非“已经证明”之上。</w:t>
      </w:r>
    </w:p>
  </w:comment>
  <w:comment w:id="9" w:author="修订说明" w:date="2026-10-19T18:00:00Z" w:initials="修">
    <w:p w14:paraId="29D85C50">
      <w:r>
        <w:t>【重算】心跳 0.2–0.5 mm 对应 0.026–0.065 rad。呼吸仍是送分题，心跳才是真正的难点，这一条决定研究内容 3 的目标分层。</w:t>
      </w:r>
    </w:p>
  </w:comment>
  <w:comment w:id="10" w:author="修订说明" w:date="2026-10-19T18:00:00Z" w:initials="修">
    <w:p w14:paraId="676BA4C1">
      <w:r>
        <w:t>【重算】按 λ=96.8 mm 重算：呼吸 4–8 mm 对应 0.52–1.04 rad（30°–60°）。</w:t>
      </w:r>
    </w:p>
  </w:comment>
  <w:comment w:id="11" w:author="修订说明" w:date="2026-10-19T18:00:00Z" w:initials="修">
    <w:p w14:paraId="6E984B63">
      <w:r>
        <w:t>【数值更正】载波频率与 5.2 节的 3.1 GHz 统一。</w:t>
      </w:r>
    </w:p>
  </w:comment>
  <w:comment w:id="12" w:author="修订说明" w:date="2026-10-19T18:00:00Z" w:initials="修">
    <w:p w14:paraId="397C8E1F">
      <w:r>
        <w:t>【状态更正】“已闭环”改为“部分闭环”：外码部分撤回；容器、时延、调制/码率/GOP/CP 四项数据有效。这一处决定答辩时“研究点 1 完成了什么”的口径。</w:t>
      </w:r>
    </w:p>
  </w:comment>
  <w:comment w:id="13" w:author="修订说明" w:date="2026-10-19T18:00:00Z" w:initials="修">
    <w:p w14:paraId="4A69D373">
      <w:r>
        <w:t>【指标调整】原“≥ 8%”依赖已撤回的测量。改为待激活点实验后给出，既保留指标位，又不承诺一个目前无法支撑的数字。</w:t>
      </w:r>
    </w:p>
  </w:comment>
  <w:comment w:id="300" w:author="修订说明" w:date="2026-10-19T18:45:00Z" w:initials="修">
    <w:p>
      <w:r>
        <w:t xml:space="preserve">【图题重写】原图把 RS 伴随式画成“残差判据点”，与修订后“外码实现存在缺陷、正在替换”的表述冲突。新图改为展示分帧元数据的位置与失效模式，与新增的“分帧完整性”子问题一致。</w:t>
      </w:r>
    </w:p>
  </w:comment>
  <w:comment w:id="301" w:author="修订说明" w:date="2026-10-19T18:45:00Z" w:initials="修">
    <w:p>
      <w:r>
        <w:t xml:space="preserve">【图题更正】“RS 外码禁用”改为“压力工况：关闭外码”，避免暗示外码此前在正常工作。</w:t>
      </w:r>
    </w:p>
  </w:comment>
  <w:comment w:id="302" w:author="修订说明" w:date="2026-10-19T18:45:00Z" w:initials="修">
    <w:p>
      <w:r>
        <w:t xml:space="preserve">【图题更正】“250.3 ± 0.5 ms”与秒表法 33 ms 的分辨率不符，改为实测区间 233–266 ms。</w:t>
      </w:r>
    </w:p>
  </w:comment>
  <w:comment w:id="400" w:author="修订说明" w:date="2026-10-19T21:10:00Z" w:initials="修">
    <w:p>
      <w:r>
        <w:t xml:space="preserve">【状态更正】"已基本完成"会与后文"外码结论撤回"直接冲突，改为分项说明完成度。这是评审最先看到的一行，必须与正文一致。</w:t>
      </w:r>
    </w:p>
  </w:comment>
  <w:comment w:id="401" w:author="修订说明" w:date="2026-10-19T21:10:00Z" w:initials="修">
    <w:p>
      <w:r>
        <w:t xml:space="preserve">【表述修正】原句断言"RS 伴随式是本链路唯一的在带内残差判据"，但该判据的实现正是本次发现缺陷之处，现状下并不存在。改为"设计上需要…正好承担"，并注明实现待修正，避免把设计意图说成既成事实。</w:t>
      </w:r>
    </w:p>
  </w:comment>
  <w:comment w:id="402" w:author="修订说明" w:date="2026-10-19T21:10:00Z" w:initials="修">
    <w:p>
      <w:r>
        <w:t xml:space="preserve">【计划补充】重测以"实现可用"为前提，必须先把替换与自检写进时间线，否则 2026.09–12 的任务无法落地。</w:t>
      </w:r>
    </w:p>
  </w:comment>
  <w:comment w:id="500" w:author="修订说明" w:date="2026-10-19T21:20:00Z" w:initials="修">
    <w:p>
      <w:r>
        <w:t xml:space="preserve">【状态更正】"已完成撰写、拟投"与"结论撤回"矛盾，改为"初稿已完成、待重测后重写投稿"。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75AFC0" w15:done="0"/>
  <w15:commentEx w15:paraId="66E69224" w15:done="0"/>
  <w15:commentEx w15:paraId="6C97EF8B" w15:done="0"/>
  <w15:commentEx w15:paraId="1BE4DD63" w15:done="0"/>
  <w15:commentEx w15:paraId="6E7B5CA5" w15:done="0"/>
  <w15:commentEx w15:paraId="7733F0A3" w15:done="0"/>
  <w15:commentEx w15:paraId="11181BFB" w15:done="0"/>
  <w15:commentEx w15:paraId="007DBB06" w15:done="0"/>
  <w15:commentEx w15:paraId="2BEAB760" w15:done="0"/>
  <w15:commentEx w15:paraId="29D85C50" w15:done="0"/>
  <w15:commentEx w15:paraId="676BA4C1" w15:done="0"/>
  <w15:commentEx w15:paraId="6E984B63" w15:done="0"/>
  <w15:commentEx w15:paraId="397C8E1F" w15:done="0"/>
  <w15:commentEx w15:paraId="4A69D373"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修订说明">
    <w15:presenceInfo w15:providerId="None" w15:userId="修订说明"/>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723659"/>
    <w:rsid w:val="272F60C9"/>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9442</Words>
  <Characters>11232</Characters>
  <Lines>0</Lines>
  <Paragraphs>0</Paragraphs>
  <TotalTime>10</TotalTime>
  <ScaleCrop>false</ScaleCrop>
  <LinksUpToDate>false</LinksUpToDate>
  <CharactersWithSpaces>11950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2026-10-19T10:13:44Z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