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论文题目：面向实时视频业务的 OFDM-ISAC 跨层传输与感知共存研究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t>在本学年中，我始终秉持严谨认真的学习态度，上课专心听讲，积极思考，课后高标准、高质量地完成各门课程老师布置的学习任务与科研训练。通过不懈努力，我的学业绩点达到1.74，在专业内排名第33位，并荣获该年度的三等奖学金。为更好地融入研究生阶段的科研环境，我在完成既定学习目标的同时，主动拓展学术视野，积极参与各类前沿学术活动，先后听取了多场高水平学术报告。这些经历显著提升了我对学科前沿的动态认知和理解。并且系统学习了 3GPP 关于通感一体化（ISAC）信道建模与可行性的研究动态、ITU-R M.2160-0《2030 年及以后 IMT 发展的框架和总体目标》中 ISAC 作为六大场景之一的定义[1]，以及 H.264/AVC（ITU-T H.264）[2]、MPEG 传输流（ISO/IEC 13818-1）[3] 等视频传输相关标准。完成开源 OFDM 通感一体化平台的部署与二次开发，搭建了 USRP N320（基站）+ USRP B210（用户设备）的无线收发链路，实现了实时 H.264 视频业务与雷达感知业务在同一 OFDM 波形上的并发运行。二次开发工作包括两部分：一是在原平台仅含 LDPC(1008,504) 内码的编码链路上，搭建 RS(255,K) 外码 + LDPC 内码的级联编码链路，支持可变长 UDP 载荷（2 字节长度前缀），并在接收端实现解交织、LDPC 软译码、RS 译码到载荷还原的级联译码流；二是扩展了平台的多阶调制能力（QPSK/16QAM/64QAM/256QAM），并为实时视频业务打通了 UDP 承载通路。外码实现已于后续代码复核中确认存在缺陷，目前正在替换为成熟 FEC 库实现并建立单元自检。围绕上述工作完成了外码冗余度扫描、容器脆弱性评估及多级缓冲队列优化等前期实验（详见第六节）。</w:t>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的“感”侧能力——从目标检测、测距测速，到对人体的非接触微动感知（呼吸 0.1–0.5 Hz、心跳 0.8–2.0 Hz 引起的毫米级体动）——是当前学术界与产业界共同关注的方向[3][4][25]。对一个承载视频业务的 ISAC 系统而言，“感”侧首先提出的问题并不是“能否测到毫米级体动”，而是“通信业务与感知功能共享同一波形时，彼此的代价有多大、资源应如何划分”；只有当这一共存基线成立之后，微动感知才是一个可以递进追求的高阶目标。本课题据此把感知定位为共存约束：以共存代价的实测为主线，并将微动感知列为条件性延伸。</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秒）决定了感知慢时间序列的可用采样窗，这是“通”的帧结构约束“感”的采样自由度；（2）感知相参积累窗长反向约束业务切换时机——若要向微动感知延伸，达到 0.11 Hz 多普勒分辨率需约 9.4 秒观测窗（研究内容 3 延伸目标的关键参数），在此期间物理层参数（如码率/调制）不可切换，否则相位相参被破坏，这是“感”的相参要求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视频业务与感知功能共享同一波形时，二者的相互影响与资源折中关系如何刻画，以及在何种条件下可从目标检测进一步向微动（</w:t>
      </w:r>
      <w:r>
        <w:rPr>
          <w:rFonts w:hint="eastAsia"/>
          <w:b w:val="0"/>
          <w:sz w:val="24"/>
          <w:lang w:val="en-US" w:eastAsia="zh-CN"/>
        </w:rPr>
        <w:t>如</w:t>
      </w:r>
      <w:r>
        <w:rPr>
          <w:rFonts w:ascii="Times New Roman" w:hAnsi="Times New Roman" w:eastAsia="宋体"/>
          <w:b w:val="0"/>
          <w:sz w:val="24"/>
        </w:rPr>
        <w:t>生命体征）感知延伸。系统总体拓扑如图 1 所示。</w:t>
      </w:r>
    </w:p>
    <w:p w14:paraId="1FBBD1F2">
      <w:pPr>
        <w:jc w:val="center"/>
      </w:pPr>
      <w:r>
        <w:drawing>
          <wp:inline distT="0" distB="0" distL="114300" distR="114300">
            <wp:extent cx="5168265" cy="236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8823" cy="2363116"/>
                    </a:xfrm>
                    <a:prstGeom prst="rect">
                      <a:avLst/>
                    </a:prstGeom>
                  </pic:spPr>
                </pic:pic>
              </a:graphicData>
            </a:graphic>
          </wp:inline>
        </w:drawing>
      </w:r>
    </w:p>
    <w:p w14:paraId="0AAE5F4F">
      <w:pPr>
        <w:ind w:firstLine="480"/>
        <w:rPr>
          <w:sz w:val="18"/>
          <w:szCs w:val="18"/>
        </w:rPr>
      </w:pPr>
      <w:r>
        <w:rPr>
          <w:rFonts w:ascii="Times New Roman" w:hAnsi="Times New Roman" w:eastAsia="宋体"/>
          <w:b/>
          <w:sz w:val="18"/>
          <w:szCs w:val="18"/>
        </w:rPr>
        <w:t>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理论意义：现有 ISAC 实验研究多聚焦感知估计精度或链路级吞吐，缺少对连续媒体业务在真实 ISAC 链路上端到端行为的系统测量与建模。本课题提出的容器误码放大模型与业务可用性评估方法，为强编码链路上的实时媒体业务设计与 ISAC 系统资源分配提供了可复用的分析框架。</w:t>
      </w:r>
    </w:p>
    <w:p w14:paraId="2F267C59">
      <w:pPr>
        <w:ind w:firstLine="480"/>
        <w:rPr>
          <w:b w:val="0"/>
          <w:bCs/>
        </w:rPr>
      </w:pPr>
      <w:r>
        <w:rPr>
          <w:rFonts w:ascii="Times New Roman" w:hAnsi="Times New Roman" w:eastAsia="宋体"/>
          <w:b/>
          <w:bCs w:val="0"/>
          <w:sz w:val="24"/>
        </w:rPr>
        <w:t>工程与应用意义</w:t>
      </w:r>
      <w:r>
        <w:rPr>
          <w:rFonts w:ascii="Times New Roman" w:hAnsi="Times New Roman" w:eastAsia="宋体"/>
          <w:b w:val="0"/>
          <w:bCs/>
          <w:sz w:val="24"/>
        </w:rPr>
        <w:t>：本课题全部实验在开源平台上完成，方法与结论可直接指导低成本 ISAC 原型系统的工程部署；研究点 1 的成果已整理为论文</w:t>
      </w:r>
      <w:r>
        <w:rPr>
          <w:rFonts w:hint="eastAsia"/>
          <w:b w:val="0"/>
          <w:bCs/>
          <w:sz w:val="24"/>
          <w:lang w:val="en-US" w:eastAsia="zh-CN"/>
        </w:rPr>
        <w:t>初稿</w:t>
      </w:r>
      <w:r>
        <w:rPr>
          <w:rFonts w:ascii="Times New Roman" w:hAnsi="Times New Roman" w:eastAsia="宋体"/>
          <w:b w:val="0"/>
          <w:bCs/>
          <w:sz w:val="24"/>
        </w:rPr>
        <w:t>；研究点 3 面向通信—感知共存配置与智慧健康监测场景，符合专业学位“应用研究类”论文的定位。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Sturm 与 Wiesbeck 等人系统性地提出并奠定了 OFDM 雷达通信一体化的核心处理框架</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；Zhang、Rahman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无线视频的抗误码传输已有大量研究：Immich等在博士论文中系统研究了弹性视频传输机制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[19]。传统设计按建模的最坏情况确定外码强度。本课题前期实验曾观察到“稳态未见纠错事件”，但后续代码级复核发现外码解码器存在实现缺陷，该观测不成立，相关结论已撤回。LDPC 残差的真实统计特性，尚待以修正后的级联译码链路重新测量。如何依据实测残差统计而非模型假设来配置外码，并进一步依据信道状态自适应切换码率，是级联编码在 ISAC 场景下的新问题。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p>
    <w:p w14:paraId="0E111E42">
      <w:r>
        <w:rPr>
          <w:rFonts w:ascii="Times New Roman" w:hAnsi="Times New Roman" w:eastAsia="黑体"/>
          <w:b/>
          <w:sz w:val="25"/>
        </w:rPr>
        <w:t>3.4 ISAC 感知、共存与生命体征监测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，Rahman/Zhang 等的 PMN 框架为包括人体在内的泛在感知提供了网络化平台，人体感知是其在生命健康场景下的一种自然延伸</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平台上、利用通信解调链路已有的相位信息做微动提取的研究仍然很少。这构成本课题研究点 3 的延伸方向，其平台基础（相位测量、帧级相参处理）已在研究点 1 中就绪；而在此之前，通信业务与感知功能并发时的相互代价如何量化，是更基础、也是本课题优先回答的问题。</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感知功能共存”的跨层设计与实验方法体系：形成一套经实测验证的视频传输跨层优化方案、一种信道自适应的可靠传输机制，以及一套通信—感知共存的资源配置方法，并在此基础上评估向非接触微动感知延伸的可行性边界。</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链路上实时视频业务的承载能力评估与跨层优化（部分完成：容器、时延、调制已完成，外码部分重测中）</w:t>
      </w:r>
    </w:p>
    <w:p w14:paraId="2DAC407E">
      <w:pPr>
        <w:ind w:firstLine="480"/>
        <w:rPr>
          <w:b w:val="0"/>
          <w:bCs/>
        </w:rPr>
      </w:pPr>
      <w:r>
        <w:rPr>
          <w:rFonts w:ascii="Times New Roman" w:hAnsi="Times New Roman" w:eastAsia="宋体"/>
          <w:b w:val="0"/>
          <w:bCs/>
          <w:sz w:val="24"/>
        </w:rPr>
        <w:t>现有不足与本研究创新点：现有 ISAC 实验平台（包括 OpenISAC[11]、Brunner 等双站系统[10]）的评估均以感知精度或链路吞吐为指标，无一研究连续媒体业务在真实 ISAC 链路上的端到端表现，也未考察现实业务对系统资源的实际约束。本研究在真实 ISAC 链路上对视频业务的承载能力进行了系统测量：给出了容器误码放大因子 γ 的实测与建模，并据此提出容器与解码器的选型判据；外码最小充分配置的确定因实现缺陷转入重测，改由研究内容 2 的激活点曲线回答。</w:t>
      </w:r>
    </w:p>
    <w:p w14:paraId="21FC4D1A">
      <w:pPr>
        <w:ind w:firstLine="480"/>
        <w:rPr>
          <w:b w:val="0"/>
          <w:bCs w:val="0"/>
        </w:rPr>
      </w:pPr>
      <w:r>
        <w:rPr>
          <w:rFonts w:ascii="Times New Roman" w:hAnsi="Times New Roman" w:eastAsia="宋体"/>
          <w:b w:val="0"/>
          <w:bCs/>
          <w:sz w:val="24"/>
        </w:rPr>
        <w:t>- RS 外码模块的搭建与集成：在原平台仅含 LDPC 内码的编码链路上，搭建 GF(2⁸) 域系统式 RS(255, K) 编解码链路（本原多项式 0x11D），支持可变长 UDP 载荷（前置 2 字节长度前缀）并级联至 LDPC(1008,504) 内码，形成 RS 外码 + LDPC 内码的级联纠错结构。码参数 K 以编译期常量方式配置，四档配置通过修改常量并重新编译依次获得；后续将改为运行期可配置（见研究内容 2 与 5.3 节关键技术 1）。</w:t>
      </w:r>
    </w:p>
    <w:p w14:paraId="5C3B3696">
      <w:pPr>
        <w:ind w:firstLine="480"/>
        <w:rPr>
          <w:b w:val="0"/>
          <w:bCs w:val="0"/>
        </w:rPr>
      </w:pPr>
      <w:r>
        <w:rPr>
          <w:rFonts w:ascii="Times New Roman" w:hAnsi="Times New Roman" w:eastAsia="宋体"/>
          <w:b w:val="0"/>
          <w:bCs/>
          <w:sz w:val="24"/>
        </w:rPr>
        <w:t>- 接收侧级联译码链的搭建：外码的引入同时要求接收链路补上对应的译码级。本课题在解调器中搭建了“解交织/软解扰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w:t>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654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68823" cy="2837320"/>
                    </a:xfrm>
                    <a:prstGeom prst="rect">
                      <a:avLst/>
                    </a:prstGeom>
                  </pic:spPr>
                </pic:pic>
              </a:graphicData>
            </a:graphic>
          </wp:inline>
        </w:drawing>
      </w:r>
    </w:p>
    <w:p w14:paraId="0970970F">
      <w:pPr>
        <w:ind w:firstLine="480"/>
        <w:jc w:val="center"/>
        <w:rPr>
          <w:sz w:val="18"/>
          <w:szCs w:val="18"/>
        </w:rPr>
      </w:pPr>
      <w:r>
        <w:rPr>
          <w:rFonts w:ascii="Times New Roman" w:hAnsi="Times New Roman"/>
          <w:b/>
          <w:sz w:val="18"/>
          <w:szCs w:val="18"/>
        </w:rPr>
        <w:t>图 2　级联编码与分帧路径：2 字节长度前缀位于外码码字内部，是分帧完整性的保护点；无外码时前缀裸露，单比特错误即可导致整条字节流错位</w:t>
      </w:r>
    </w:p>
    <w:p w14:paraId="361DBB16">
      <w:pPr>
        <w:ind w:firstLine="480"/>
        <w:rPr>
          <w:b w:val="0"/>
          <w:bCs w:val="0"/>
        </w:rPr>
      </w:pPr>
      <w:r>
        <w:rPr>
          <w:rFonts w:ascii="Times New Roman" w:hAnsi="Times New Roman" w:eastAsia="宋体"/>
          <w:b w:val="0"/>
          <w:bCs w:val="0"/>
          <w:sz w:val="24"/>
        </w:rPr>
        <w:t>- 外码冗余的边界分析：对上述四档配置（K=223/207/191/179，冗余 14.3%–42.5%）在真实空口链路上进行系统扫描。该组结论已撤回：复核发现外码解码器执行纠错链路存在缺陷，“稳态零纠错”来自实现缺陷而非链路特性；RS(255,223) 的 8.4% 吞吐增益为根据码率比推算、未经端到端实测。原设“外码只需覆盖内码残差上界”的准则暂不作为结论，改由研究内容 2 的激活点曲线判定。需说明，即便外码工作正常，四档配置在良好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容错解码器的架构选择。需要说明的是，γ 的绝对值依赖于 LDPC 译码输出处残余误码率 p 的实测值，前期尚未对该 p 作直接测量；后续将以 PRBS 逐字节比对补充测量，并给出 95% 置信区间。</w:t>
      </w:r>
    </w:p>
    <w:p w14:paraId="52D7BE64">
      <w:pPr>
        <w:ind w:firstLine="480"/>
        <w:rPr>
          <w:b w:val="0"/>
          <w:bCs w:val="0"/>
        </w:rPr>
      </w:pPr>
      <w:r>
        <w:rPr>
          <w:b w:val="0"/>
          <w:bCs w:val="0"/>
        </w:rPr>
        <w:t>分帧完整性的作用定位：</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ms），且无随时间累积趋势，其中视频解码环节占主导。设置固定配置（队列 32 帧、阻塞写入）与优化配置的对照实验，比较两者的端到端时延、时延抖动与丢帧率，以量化队列整形的实际收益。需说明的是，本测量采用秒表法（拍摄设备 30 fps，时间分辨率约 33 ms），因此报告精度以“约 250 ms / 无累积趋势”为准。</w:t>
      </w:r>
    </w:p>
    <w:p w14:paraId="4B6135E9">
      <w:pPr>
        <w:ind w:firstLine="480"/>
        <w:rPr>
          <w:b w:val="0"/>
          <w:bCs w:val="0"/>
        </w:rPr>
      </w:pPr>
      <w:r>
        <w:rPr>
          <w:rFonts w:ascii="Times New Roman" w:hAnsi="Times New Roman" w:eastAsia="宋体"/>
          <w:b w:val="0"/>
          <w:bCs w:val="0"/>
          <w:sz w:val="24"/>
        </w:rPr>
        <w:t>- 调制与波形参数边界：实测 16QAM 在 B210 接收端为主机计算瓶颈而非信道瓶颈（CPU 105%、2.38 ms/帧，已超过 2.304 ms 帧周期）；码率/GOP 扫描确定 1200 kbps/30 帧为综合最优；CP=64 实验导致同步失锁，CP=128（2.56 μs）为当前室内场景的最小可行保护间隔，失锁的具体机制（多径还是帧长常数失配）待进一步核验；BER–速率扫描的误差计数含测试脚本伪错，待改用 PRBS 比对重测；视频速率下的吞吐余量以重测结果为准。</w:t>
      </w:r>
    </w:p>
    <w:p w14:paraId="5E485B42">
      <w:pPr>
        <w:jc w:val="center"/>
      </w:pPr>
      <w:r>
        <w:drawing>
          <wp:inline distT="0" distB="0" distL="114300" distR="114300">
            <wp:extent cx="5168265" cy="267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68823" cy="2672533"/>
                    </a:xfrm>
                    <a:prstGeom prst="rect">
                      <a:avLst/>
                    </a:prstGeom>
                  </pic:spPr>
                </pic:pic>
              </a:graphicData>
            </a:graphic>
          </wp:inline>
        </w:drawing>
      </w:r>
    </w:p>
    <w:p w14:paraId="13F9D03A">
      <w:pPr>
        <w:ind w:firstLine="480"/>
        <w:rPr>
          <w:b/>
          <w:bCs w:val="0"/>
          <w:sz w:val="18"/>
          <w:szCs w:val="18"/>
        </w:rPr>
      </w:pPr>
      <w:r>
        <w:rPr>
          <w:rFonts w:ascii="Times New Roman" w:hAnsi="Times New Roman" w:eastAsia="宋体"/>
          <w:b/>
          <w:bCs w:val="0"/>
          <w:sz w:val="18"/>
          <w:szCs w:val="18"/>
        </w:rPr>
        <w:t>图 3　容器误码放大因子 γ：同一物理误码流下四种传输栈的实测对比（压力工况：关闭外码）</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类冗余自适应[17]）面向包删除信道，不适配 ISAC 物理层可配置的外码参数空间。本研究在实测残差统计而非信道模型假设的基础上，建立 SNR 到 RS 配置的在线映射，这是利用 ISAC 物理层可配置性这一新自由度的有益尝试。</w:t>
      </w:r>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3（拟研究）：通信与感知的共存机制及微动感知延伸（本课题的 ISAC 核心维度）</w:t>
      </w:r>
    </w:p>
    <w:p w14:paraId="379580F7">
      <w:pPr>
        <w:ind w:firstLine="480"/>
      </w:pPr>
      <w:r>
        <w:rPr>
          <w:rFonts w:ascii="Times New Roman" w:hAnsi="Times New Roman" w:eastAsia="宋体"/>
          <w:b w:val="0"/>
          <w:bCs/>
          <w:sz w:val="24"/>
        </w:rPr>
        <w:t>现有不足与本研究创新点：现有 ISAC 平台实验多在“纯通信”或“纯感知”条件下评估性能，很少量化两者并发时的相互代价；而微动感知类工作（如 OFDM-Breathe、AI-Assisted ISAC 呼吸识别[28][29]）多基于专用感知波形或低速数据包，未考虑承载实时视频流时业务码率剧烈波动对感知信噪比的影响。本课题把“共存代价”作为第一层问题，把“微动提取”作为共存基线成立之后的第二层目标，两层共享同一套波形与实验基础设施。共存实验是本课题区别于纯视频传输研究的核心贡献，也是论文投向 ISAC 类期刊的主要依据。</w:t>
      </w:r>
    </w:p>
    <w:p w14:paraId="577FC151">
      <w:pPr>
        <w:ind w:firstLine="480"/>
        <w:rPr>
          <w:b w:val="0"/>
          <w:bCs w:val="0"/>
        </w:rPr>
      </w:pPr>
      <w:r>
        <w:rPr>
          <w:rFonts w:ascii="Times New Roman" w:hAnsi="Times New Roman" w:eastAsia="宋体"/>
          <w:b w:val="0"/>
          <w:bCs w:val="0"/>
          <w:sz w:val="24"/>
        </w:rPr>
        <w:t>拟研究问题：（1）共存层——在同一波形上并发运行实时视频与目标检测时，视频业务对检测概率、距离估计与虚警率的影响有多大；payload 与 sensing_pilot 的资源配比应如何折中两侧性能；（2）延伸层——在共存基线成立的前提下，能否从同一 OFDM 波形的解调相位中提取人体呼吸与心跳信号。</w:t>
      </w:r>
    </w:p>
    <w:p w14:paraId="5C5A4834">
      <w:pPr>
        <w:ind w:firstLine="480"/>
        <w:rPr>
          <w:b w:val="0"/>
          <w:bCs w:val="0"/>
        </w:rPr>
      </w:pPr>
      <w:r>
        <w:rPr>
          <w:rFonts w:ascii="Times New Roman" w:hAnsi="Times New Roman" w:eastAsia="宋体"/>
          <w:b w:val="0"/>
          <w:bCs w:val="0"/>
          <w:sz w:val="24"/>
        </w:rPr>
        <w:t>共存层拟采用方案：以角反射器（或金属板）作为已知目标置于 2–5 m，分别在“关闭视频业务”与“开启视频业务（1200 kbps）”两种条件下测量检测概率、距离估计误差与虚警率；再在业务开启条件下改变 payload 与 sensing_pilot 的资源块配比（2–3 档），给出“业务吞吐—检测性能”的折中曲线。平台的资源块类型与配比由 YAML 配置提供，无需改动感知处理链路，因此本层实验不引入新的算法开发。</w:t>
      </w:r>
    </w:p>
    <w:p w14:paraId="0E9179A1">
      <w:pPr>
        <w:ind w:firstLine="480"/>
        <w:rPr>
          <w:b w:val="0"/>
          <w:bCs w:val="0"/>
        </w:rPr>
      </w:pPr>
      <w:r>
        <w:rPr>
          <w:rFonts w:ascii="Times New Roman" w:hAnsi="Times New Roman" w:eastAsia="宋体"/>
          <w:b w:val="0"/>
          <w:bCs w:val="0"/>
          <w:sz w:val="24"/>
        </w:rPr>
        <w:t>共存层预期产出：一张“检测性能 vs 业务负载 / 资源配比”的对照图与一张折中表，作为研究内容 3 的主体结果；该结果同时为研究点 2 的自适应切换提供“业务代价”这一约束项。该结果是本课题在 ISAC 方向上的主要增量：它回答的是 ISAC 系统承载实时业务时感知性能要付出多少代价，而非视频能传多好。</w:t>
      </w:r>
    </w:p>
    <w:p w14:paraId="3097307C">
      <w:pPr>
        <w:ind w:firstLine="480"/>
        <w:rPr>
          <w:b w:val="0"/>
          <w:bCs w:val="0"/>
        </w:rPr>
      </w:pPr>
      <w:r>
        <w:rPr>
          <w:rFonts w:ascii="Times New Roman" w:hAnsi="Times New Roman" w:eastAsia="宋体"/>
          <w:b w:val="0"/>
          <w:bCs w:val="0"/>
          <w:sz w:val="24"/>
        </w:rPr>
        <w:t>延伸层的相位灵敏度预算（定量前提）：在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rad（1.5°–3.7°），这才是真正受限于系统相位噪声底的部分，也是延伸目标必须先标定基线的原因。</w:t>
      </w:r>
    </w:p>
    <w:p w14:paraId="7BD4B339">
      <w:pPr>
        <w:ind w:firstLine="480"/>
        <w:rPr>
          <w:b w:val="0"/>
          <w:bCs w:val="0"/>
        </w:rPr>
      </w:pPr>
      <w:r>
        <w:rPr>
          <w:rFonts w:ascii="Times New Roman" w:hAnsi="Times New Roman" w:eastAsia="宋体"/>
          <w:b w:val="0"/>
          <w:bCs w:val="0"/>
          <w:sz w:val="24"/>
        </w:rPr>
        <w:t>延伸层拟采用方案：利用接收链路已有的导频相位跟踪与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52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18"/>
          <w:szCs w:val="18"/>
        </w:rPr>
        <w:t>图 4　非接触微动感知处理架构与相位灵敏度预算（延伸目标）：λ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先由长窗谱估计出呼吸基频及谐波幅度，重构呼吸相位分量并从观测相位中减去，再对残差做心跳频带谱估计；(b) 倒谱分析</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分层目标（递进设计）：目标 0——共存基线（必做）：在含目标场景下测得检测概率、距离估计误差与虚警率，并与“关闭视频业务”的条件对照，给出资源配比折中曲线；目标 C——感知链路微动检测能力基线评估（相位噪声底、最小可检测体动幅度、所需 SNR）；目标 B——静止人体呼吸率可靠检测；目标 A——呼吸与心跳双参数提取与连续监测。四级目标逐级推进，前两级支撑学位论文的主体章节，后两级为条件性延伸。</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统计（而非最坏情况模型）确定跨层保护的最小充分配置，并给出可迁移的设计准则。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与感知并发的资源协同与微弱信号提取问题：视频业务对吞吐/延迟的要求与感知对相参处理时长/导频密度的要求共享同一波形，参数调整存在耦合，需研究两功能的兼容域与协同设计方法；若进一步向微动延伸，还需解决商用 SDR 相位噪声远高于专用雷达条件下的相位误差抑制与长时相参积累稳定性问题。</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本课题采用“开源平台 + 受控实验 + 模型指导”的研究路线：以 OpenISAC 平台为统一试验载体，三个研究内容共享同一硬件链路与实验基础设施，逐层递进——研究点 1 建立跨层基线与方法论，研究点 2 在其上引入信道自适应维度，研究点 3 在同一波形上刻画通信—感知的共存关系，并评估向微动感知延伸的可行性。[技术路线总图见图 5]</w:t>
      </w:r>
    </w:p>
    <w:p w14:paraId="707231FF">
      <w:pPr>
        <w:jc w:val="center"/>
      </w:pPr>
      <w:r>
        <w:drawing>
          <wp:inline distT="0" distB="0" distL="114300" distR="114300">
            <wp:extent cx="5168265" cy="2678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8823" cy="2679252"/>
                    </a:xfrm>
                    <a:prstGeom prst="rect">
                      <a:avLst/>
                    </a:prstGeom>
                  </pic:spPr>
                </pic:pic>
              </a:graphicData>
            </a:graphic>
          </wp:inline>
        </w:drawing>
      </w:r>
    </w:p>
    <w:p w14:paraId="55933209">
      <w:pPr>
        <w:ind w:firstLine="480"/>
        <w:rPr>
          <w:sz w:val="18"/>
          <w:szCs w:val="18"/>
        </w:rPr>
      </w:pPr>
      <w:r>
        <w:rPr>
          <w:rFonts w:ascii="Times New Roman" w:hAnsi="Times New Roman" w:eastAsia="宋体"/>
          <w:b/>
          <w:sz w:val="18"/>
          <w:szCs w:val="18"/>
        </w:rPr>
        <w:t>图 5　技术路线总图：三条研究内容共享同一平台，按“分帧—容器—缓冲 → 激活点 → 共存 → 微动延伸”递进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外码（当前为自研实现，待替换为成熟 FEC 库）级联 LDPC(1008,504) 内码（内码基于 AFF3CT 库实现[27]）；QPSK/16QAM；视频业务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稳态统计、语义保持扰动鲁棒性测试；共存测量以“开/关视频业务 × 不同资源配比”为条件，记录检测概率、距离误差与虚警率；微动延伸采用相位时序提取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2B3D2D42">
      <w:pPr>
        <w:ind w:firstLine="480"/>
        <w:rPr>
          <w:b w:val="0"/>
          <w:bCs w:val="0"/>
        </w:rPr>
      </w:pPr>
      <w:r>
        <w:rPr>
          <w:b w:val="0"/>
          <w:bCs w:val="0"/>
        </w:rPr>
        <w:t>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通信—感知资源配比与共存评估方法：在不改动平台感知处理链路的前提下，通过 payload 与 sensing_pilot 的资源块配比以及业务开关条件构造对照实验，量化两侧代价（研究点 3 关键）。</w:t>
      </w:r>
    </w:p>
    <w:p w14:paraId="7359620F">
      <w:pPr>
        <w:ind w:firstLine="480"/>
      </w:pPr>
      <w:r>
        <w:rPr>
          <w:rFonts w:ascii="Times New Roman" w:hAnsi="Times New Roman" w:eastAsia="宋体"/>
          <w:b w:val="0"/>
          <w:bCs w:val="0"/>
          <w:sz w:val="24"/>
        </w:rPr>
        <w:t>4. 导频相位的高精度复用与长时相参积累：把通信解调链路的导频相位跟踪输出改造为微动测量的相参相位源；延长相参处理窗后载波相位漂移成为主要误差源，拟采用相位差分/高通-带通级联滤波与参考距离门相位共模消除（研究点 3 延伸目标的关键）。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p>
    <w:p w14:paraId="7B9F6A44">
      <w:pPr>
        <w:jc w:val="center"/>
      </w:pPr>
      <w:r>
        <w:drawing>
          <wp:inline distT="0" distB="0" distL="114300" distR="114300">
            <wp:extent cx="5168265" cy="19367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68823" cy="1937268"/>
                    </a:xfrm>
                    <a:prstGeom prst="rect">
                      <a:avLst/>
                    </a:prstGeom>
                  </pic:spPr>
                </pic:pic>
              </a:graphicData>
            </a:graphic>
          </wp:inline>
        </w:drawing>
      </w:r>
    </w:p>
    <w:p w14:paraId="28664B03">
      <w:pPr>
        <w:ind w:firstLine="480"/>
        <w:rPr>
          <w:sz w:val="18"/>
          <w:szCs w:val="18"/>
        </w:rPr>
      </w:pPr>
      <w:r>
        <w:rPr>
          <w:rFonts w:ascii="Times New Roman" w:hAnsi="Times New Roman" w:eastAsia="宋体"/>
          <w:b/>
          <w:sz w:val="18"/>
          <w:szCs w:val="18"/>
        </w:rPr>
        <w:t>图 6　前期完成的端到端时延实测：(a) 五分钟采样轨迹（稳态 233–266 ms，无累积趋势）；(b) 时延分解（解码环节约占 80%）</w:t>
      </w:r>
    </w:p>
    <w:p w14:paraId="7FF20465">
      <w:pPr>
        <w:ind w:firstLine="480"/>
      </w:pPr>
      <w:r>
        <w:rPr>
          <w:rFonts w:ascii="Times New Roman" w:hAnsi="Times New Roman" w:eastAsia="宋体"/>
          <w:b w:val="0"/>
          <w:sz w:val="24"/>
        </w:rPr>
        <w:t>- 论文成果：基于研究点 1 的论文初稿已</w:t>
      </w:r>
      <w:r>
        <w:rPr>
          <w:rFonts w:hint="eastAsia"/>
          <w:b w:val="0"/>
          <w:sz w:val="24"/>
          <w:lang w:val="en-US" w:eastAsia="zh-CN"/>
        </w:rPr>
        <w:t>初步</w:t>
      </w:r>
      <w:r>
        <w:rPr>
          <w:rFonts w:ascii="Times New Roman" w:hAnsi="Times New Roman" w:eastAsia="宋体"/>
          <w:b w:val="0"/>
          <w:sz w:val="24"/>
        </w:rPr>
        <w:t>完成；因第三章外码结论撤回，拟按重测结果重写后投稿。</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扫描、容器放大因子实测、队列优化、延迟测量、参数边界扫描）；形成论文初稿</w:t>
      </w:r>
      <w:r>
        <w:rPr>
          <w:rFonts w:hint="eastAsia"/>
          <w:b w:val="0"/>
          <w:sz w:val="24"/>
          <w:lang w:eastAsia="zh-CN"/>
        </w:rPr>
        <w:t>。</w:t>
      </w:r>
    </w:p>
    <w:p w14:paraId="6C7C5646">
      <w:pPr>
        <w:ind w:firstLine="480"/>
      </w:pPr>
      <w:r>
        <w:rPr>
          <w:rFonts w:ascii="Times New Roman" w:hAnsi="Times New Roman" w:eastAsia="宋体"/>
          <w:b w:val="0"/>
          <w:sz w:val="24"/>
        </w:rPr>
        <w:t>- 第二学年第一学期（2026.09–2026.12）：研究内容 1 收尾：补充 γ 实验的量化 BER 工作点记录、复核实验数据样本量与关键数值；完成外码实现替换与单元自检；完成小论文定稿与投稿；启动 RS 外码可重构化改造（研究内容 2 使能性工作）。完成 RS 外码可重构化改造；完成研究内容 2 的 SNR/残差统计量构造、自适应映射模型建立与平台运行时实现；完成研究内容 3 目标 0 的场景与目标标定（角反射器就位、CFAR 检出打通、资源配比配置打通），并做微动相位谱可行性摸底（延伸目标预实验）；中期检查。同期在受控衰减扫描中完成四档外码的激活点曲线刻画（研究内容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第二学年寒假与第二学期（2027.01–2027.06）：完成研究内容 2 实测对比实验；完成研究内容 3 目标 0 的共存对照实验（开/关视频 × 资源配比）与目标 C 标定（相位噪声底、最小可检测位移），并推进呼吸率检测（目标 B）；企业/校外实践（按培养方案要求安排）。</w:t>
      </w:r>
    </w:p>
    <w:p w14:paraId="251735ED">
      <w:pPr>
        <w:ind w:firstLine="480"/>
      </w:pPr>
      <w:r>
        <w:rPr>
          <w:rFonts w:ascii="Times New Roman" w:hAnsi="Times New Roman" w:eastAsia="宋体"/>
          <w:b w:val="0"/>
          <w:sz w:val="24"/>
        </w:rPr>
        <w:t>- 第三学年第一学期（2027.09–2027.12）：完成研究内容 3 剩余实验（在共存基线与目标 B 达成的前提下争取双参数提取，目标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val="0"/>
          <w:bCs/>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论文 1–2 篇：其中 1 篇面向 EI 期刊或中文核心期刊（研究点 1，初稿已完成、待重测后重写投稿），另 1 篇视研究点 2 或 3 的结果产出；</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r>
        <w:rPr>
          <w:rFonts w:ascii="Times New Roman" w:hAnsi="Times New Roman" w:eastAsia="宋体"/>
          <w:b w:val="0"/>
          <w:sz w:val="24"/>
        </w:rPr>
        <w:t xml:space="preserve">   - 研究点 1：端到端延迟 ≤ 300 ms 且 10 分钟内无累积趋势；视频速率下有效载荷误码率 ≤ 10⁻⁶；给出固定配置与优化配置的对照结果；外码档位的吞吐收益待激活点实验后给出；</w:t>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研究点 3：给出“业务负载—资源配比—检测性能”的共存折中曲线，以及共存条件下检测概率相对无业务条件的下降幅度；在延伸目标上给出系统相位噪声底与最小可检测胸壁位移的实测标定值，力争呼吸率估计误差 ≤ 2 次/分（RMSE）、心率估计误差 ≤ 5 次/分（RMSE）。</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共存实验与微动延伸的可行性风险：共存实验依赖平台 CFAR 能稳定检出目标，而前期单站数据中尚未取得有效检测；微动延伸还受商用 SDR 相位噪声限制，心跳信号（毫米级体动）提取存在不确定性。对策：先以角反射器等强目标打通检测链路、标定平台检测门限，再开展共存对照实验；若角反射器条件下仍无法稳定检出，则改用能量积累或长时相参等替代检测方式，并相应调整共存指标的度量口径。微动部分按递进目标设计（能力基线 → 呼吸率 → 双参数），前两级结果均足以支撑独立章节；必要时引入研究点 2 的自适应机制提升感知窗口 SNR，或利用基站双通道升级改善相参增益。</w:t>
      </w:r>
      <w:bookmarkStart w:id="0" w:name="_GoBack"/>
      <w:bookmarkEnd w:id="0"/>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13DC4C00">
      <w:pPr>
        <w:ind w:firstLine="480"/>
      </w:pPr>
      <w:r>
        <w:rPr>
          <w:rFonts w:ascii="Times New Roman" w:hAnsi="Times New Roman" w:eastAsia="宋体"/>
          <w:b w:val="0"/>
          <w:sz w:val="24"/>
        </w:rPr>
        <w:t>[28] XUE W, WANG R, LIU L, WU D. Accurate multi-target vital signs detection method for FMCW radar[J]. Measurement, 2023, 223: 113715. DOI: 10.1016/j.measurement.2023.113715.</w:t>
      </w:r>
    </w:p>
    <w:p w14:paraId="455A8670">
      <w:pPr>
        <w:ind w:firstLine="480"/>
      </w:pPr>
      <w:r>
        <w:rPr>
          <w:rFonts w:ascii="Times New Roman" w:hAnsi="Times New Roman" w:eastAsia="宋体"/>
          <w:b w:val="0"/>
          <w:sz w:val="24"/>
        </w:rPr>
        <w:t>[29] XUE X, PARKAR S, YU S, ZHENG Y. AI-assisted composite ISAC for mmWave respiration pattern recognition[C]//2025 IEEE Annual Congress on Artificial Intelligence of Things (AIoT). 2025: 357-364. DOI: 10.1109/AIoT66900.2025.00059.</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C65E7"/>
    <w:rsid w:val="22723659"/>
    <w:rsid w:val="267B162E"/>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5711</Words>
  <Characters>6682</Characters>
  <Lines>0</Lines>
  <Paragraphs>0</Paragraphs>
  <TotalTime>118</TotalTime>
  <ScaleCrop>false</ScaleCrop>
  <LinksUpToDate>false</LinksUpToDate>
  <CharactersWithSpaces>7004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2026-10-21T08:18:43Z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