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论文题目：面向实时视频业务的 OFDM-ISAC 跨层传输与感知共存研究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blPrEx>
          <w:tblCellMar>
            <w:top w:w="0" w:type="dxa"/>
            <w:left w:w="28" w:type="dxa"/>
            <w:bottom w:w="0" w:type="dxa"/>
            <w:right w:w="28" w:type="dxa"/>
          </w:tblCellMar>
        </w:tblPrEx>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r>
              <w:rPr>
                <w:rFonts w:hint="eastAsia"/>
                <w:color w:val="000000"/>
                <w:sz w:val="30"/>
                <w:u w:val="single"/>
                <w:lang w:val="en-US" w:eastAsia="zh-CN"/>
              </w:rPr>
              <w:t>.10.28</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commentRangeStart w:id="0"/>
      <w:commentRangeEnd w:id="0"/>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的“感”侧能力——从目标检测、测距测速，到对人体的非接触微动感知（呼吸 0.1–0.5 Hz、心跳 0.8–2.0 Hz 引起的毫米级体动）——是当前学术界与产业界共同关注的方向[3][4][25]。对一个承载视频业务的 ISAC 系统而言，“感”侧首先提出的问题并不是“能否测到毫米级体动”，而是“通信业务与感知功能共享同一波形时，彼此的代价有多大、资源应如何划分”；只有当这一共存基线成立之后，微动感知才是一个可以递进追求的高阶目标。本课题据此把感知定位为共存约束：以共存代价的实测为主线，并将微动感知列为条件性延伸。</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w:t>
      </w:r>
      <w:r>
        <w:rPr>
          <w:rFonts w:hint="eastAsia"/>
          <w:b w:val="0"/>
          <w:bCs/>
          <w:sz w:val="24"/>
          <w:lang w:eastAsia="zh-CN"/>
        </w:rPr>
        <w:t>，</w:t>
      </w:r>
      <w:r>
        <w:rPr>
          <w:rFonts w:hint="eastAsia"/>
          <w:b w:val="0"/>
          <w:bCs/>
          <w:sz w:val="24"/>
          <w:lang w:val="en-US" w:eastAsia="zh-CN"/>
        </w:rPr>
        <w:t>即</w:t>
      </w:r>
      <w:r>
        <w:rPr>
          <w:rFonts w:ascii="Times New Roman" w:hAnsi="Times New Roman" w:eastAsia="宋体"/>
          <w:b w:val="0"/>
          <w:bCs/>
          <w:sz w:val="24"/>
        </w:rPr>
        <w:t>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秒）决定了感知慢时间序列的可用采样窗，这是“通”的帧结构约束“感”的采样自由度；（2）感知相参积累窗长反向约束业务切换时机——若要向微动感知延伸，达到 0.11 Hz 多普勒分辨率需约 9.4 秒观测窗（研究内容 3 延伸目标的关键参数），在此期间物理层参数（如码率/调制）不可切换，否则相位相参被破坏，这是“感”的相参要求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视频业务与感知功能共享同一波形时，二者的相互影响与资源折中关系如何刻画，以及在何种条件下可从目标检测进一步向微动（</w:t>
      </w:r>
      <w:r>
        <w:rPr>
          <w:rFonts w:hint="eastAsia"/>
          <w:b w:val="0"/>
          <w:sz w:val="24"/>
          <w:lang w:val="en-US" w:eastAsia="zh-CN"/>
        </w:rPr>
        <w:t>如</w:t>
      </w:r>
      <w:r>
        <w:rPr>
          <w:rFonts w:ascii="Times New Roman" w:hAnsi="Times New Roman" w:eastAsia="宋体"/>
          <w:b w:val="0"/>
          <w:sz w:val="24"/>
        </w:rPr>
        <w:t>生命体征）感知延伸。系统总体拓扑如图 1 所示。</w:t>
      </w:r>
    </w:p>
    <w:p w14:paraId="1FBBD1F2">
      <w:pPr>
        <w:jc w:val="center"/>
      </w:pPr>
      <w:r>
        <w:drawing>
          <wp:inline distT="0" distB="0" distL="114300" distR="114300">
            <wp:extent cx="5168265" cy="2362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68823" cy="2363116"/>
                    </a:xfrm>
                    <a:prstGeom prst="rect">
                      <a:avLst/>
                    </a:prstGeom>
                  </pic:spPr>
                </pic:pic>
              </a:graphicData>
            </a:graphic>
          </wp:inline>
        </w:drawing>
      </w:r>
    </w:p>
    <w:p w14:paraId="0AAE5F4F">
      <w:pPr>
        <w:ind w:firstLine="480"/>
        <w:rPr>
          <w:sz w:val="18"/>
          <w:szCs w:val="18"/>
        </w:rPr>
      </w:pPr>
      <w:r>
        <w:rPr>
          <w:rFonts w:ascii="Times New Roman" w:hAnsi="Times New Roman" w:eastAsia="宋体"/>
          <w:b/>
          <w:sz w:val="18"/>
          <w:szCs w:val="18"/>
        </w:rPr>
        <w:t>图 1　OpenISAC 平台上实时视频与雷达感知的系统拓扑：两条业务链共享同一 OFDM 波形</w:t>
      </w:r>
    </w:p>
    <w:p w14:paraId="2C598460">
      <w:r>
        <w:rPr>
          <w:rFonts w:ascii="Times New Roman" w:hAnsi="Times New Roman" w:eastAsia="黑体"/>
          <w:b/>
          <w:sz w:val="25"/>
        </w:rPr>
        <w:t>2.3 研究意义</w:t>
      </w:r>
    </w:p>
    <w:p w14:paraId="716A590B">
      <w:pPr>
        <w:ind w:firstLine="480"/>
      </w:pPr>
      <w:commentRangeStart w:id="1"/>
      <w:commentRangeEnd w:id="1"/>
    </w:p>
    <w:p w14:paraId="2F267C59">
      <w:pPr>
        <w:ind w:firstLine="480"/>
        <w:rPr>
          <w:b w:val="0"/>
          <w:bCs/>
        </w:rPr>
      </w:pPr>
      <w:r>
        <w:rPr>
          <w:rFonts w:ascii="Times New Roman" w:hAnsi="Times New Roman" w:eastAsia="宋体"/>
          <w:b/>
          <w:bCs w:val="0"/>
          <w:sz w:val="24"/>
        </w:rPr>
        <w:t>工程与应用意义</w:t>
      </w:r>
      <w:r>
        <w:rPr>
          <w:rFonts w:ascii="Times New Roman" w:hAnsi="Times New Roman" w:eastAsia="宋体"/>
          <w:b w:val="0"/>
          <w:bCs/>
          <w:sz w:val="24"/>
        </w:rPr>
        <w:t>：本课题全部实验在开源平台上完成，方法与结论可直接指导低成本 ISAC 原型系统的工程部署；研究点 1 的成果已整理为论文</w:t>
      </w:r>
      <w:r>
        <w:rPr>
          <w:rFonts w:hint="eastAsia"/>
          <w:b w:val="0"/>
          <w:bCs/>
          <w:sz w:val="24"/>
          <w:lang w:val="en-US" w:eastAsia="zh-CN"/>
        </w:rPr>
        <w:t>初稿</w:t>
      </w:r>
      <w:r>
        <w:rPr>
          <w:rFonts w:ascii="Times New Roman" w:hAnsi="Times New Roman" w:eastAsia="宋体"/>
          <w:b w:val="0"/>
          <w:bCs/>
          <w:sz w:val="24"/>
        </w:rPr>
        <w:t>；研究点 3 面向通信—感知共存配置与智慧健康监测场景，符合专业学位“应用研究类”论文的定位。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Sturm 与 Wiesbeck 等人系统性地提出并奠定了 OFDM 雷达通信一体化的核心处理框架</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；Zhang、Rahman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无线视频的抗误码传输已有大量研究：Immich等在博士论文中系统研究了弹性视频传输机制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commentRangeStart w:id="2"/>
      <w:commentRangeEnd w:id="2"/>
    </w:p>
    <w:p w14:paraId="0E111E42">
      <w:r>
        <w:rPr>
          <w:rFonts w:ascii="Times New Roman" w:hAnsi="Times New Roman" w:eastAsia="黑体"/>
          <w:b/>
          <w:sz w:val="25"/>
        </w:rPr>
        <w:t>3.4 ISAC 感知、共存与生命体征监测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，Rahman/Zhang 等的 PMN 框架为包括人体在内的泛在感知提供了网络化平台，人体感知是其在生命健康场景下的一种自然延伸</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平台上、利用通信解调链路已有的相位信息做微动提取的研究仍然很少。这构成本课题研究点 3 的延伸方向，其平台基础（相位测量、帧级相参处理）已在研究点 1 中就绪；而在此之前，通信业务与感知功能并发时的相互代价如何量化，是更基础、也是本课题优先回答的问题。</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感知功能共存”的跨层设计与实验方法体系：形成一套经实测验证的视频传输跨层优化方案、一种信道自适应的可靠传输机制，以及一套通信—感知共存的资源配置方法，并在此基础上评估向非接触微动感知延伸的可行性边界。</w:t>
      </w:r>
    </w:p>
    <w:p w14:paraId="6443508A">
      <w:r>
        <w:rPr>
          <w:rFonts w:ascii="Times New Roman" w:hAnsi="Times New Roman" w:eastAsia="黑体"/>
          <w:b/>
          <w:sz w:val="25"/>
        </w:rPr>
        <w:t>4.2 主要研究内容</w:t>
      </w:r>
    </w:p>
    <w:p w14:paraId="5CA16E68">
      <w:pPr>
        <w:ind w:firstLine="480"/>
      </w:pPr>
      <w:commentRangeStart w:id="3"/>
      <w:commentRangeEnd w:id="3"/>
    </w:p>
    <w:p w14:paraId="2DAC407E">
      <w:pPr>
        <w:ind w:firstLine="480"/>
        <w:rPr>
          <w:b w:val="0"/>
          <w:bCs/>
        </w:rPr>
      </w:pPr>
      <w:commentRangeStart w:id="4"/>
      <w:commentRangeEnd w:id="4"/>
    </w:p>
    <w:p w14:paraId="21FC4D1A">
      <w:pPr>
        <w:ind w:firstLine="480"/>
        <w:rPr>
          <w:b w:val="0"/>
          <w:bCs w:val="0"/>
        </w:rPr>
      </w:pPr>
      <w:commentRangeStart w:id="5"/>
      <w:commentRangeEnd w:id="5"/>
    </w:p>
    <w:p w14:paraId="5C3B3696">
      <w:pPr>
        <w:ind w:firstLine="480"/>
        <w:rPr>
          <w:b w:val="0"/>
          <w:bCs w:val="0"/>
        </w:rPr>
      </w:pPr>
      <w:commentRangeStart w:id="6"/>
      <w:commentRangeEnd w:id="6"/>
    </w:p>
    <w:p w14:paraId="50FE4BD0">
      <w:pPr>
        <w:ind w:firstLine="480"/>
        <w:rPr>
          <w:b w:val="0"/>
          <w:bCs w:val="0"/>
        </w:rPr>
      </w:pPr>
      <w:r>
        <w:rPr>
          <w:rFonts w:ascii="Times New Roman" w:hAnsi="Times New Roman" w:eastAsia="宋体"/>
          <w:b w:val="0"/>
          <w:bCs/>
          <w:sz w:val="24"/>
        </w:rPr>
        <w:t>需特别指出：内码译码器既不返回收敛标志、也无逐码字校验，其误纠对上层是静默的。因此设计上需要一个在带内的残差判据——RS 译码器的伴随式正好兼具检测与纠错双重职能，这也是本研究必须在平台上引入外码（而非仅依赖强内码）的根本技术理由；该判据的实现目前正在修正。</w:t>
      </w:r>
      <w:r>
        <w:rPr>
          <w:rFonts w:ascii="Times New Roman" w:hAnsi="Times New Roman" w:eastAsia="宋体"/>
          <w:b w:val="0"/>
          <w:bCs w:val="0"/>
          <w:sz w:val="24"/>
        </w:rPr>
        <w:t>级联编解码结构与分帧元数据的位置如图 2 所示。</w:t>
      </w:r>
    </w:p>
    <w:p w14:paraId="4680AE9E">
      <w:pPr>
        <w:ind w:firstLine="480"/>
        <w:jc w:val="center"/>
        <w:rPr>
          <w:b w:val="0"/>
          <w:bCs w:val="0"/>
        </w:rPr>
      </w:pPr>
      <w:r>
        <w:drawing>
          <wp:inline distT="0" distB="0" distL="114300" distR="114300">
            <wp:extent cx="5168265" cy="2836545"/>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168823" cy="2837320"/>
                    </a:xfrm>
                    <a:prstGeom prst="rect">
                      <a:avLst/>
                    </a:prstGeom>
                  </pic:spPr>
                </pic:pic>
              </a:graphicData>
            </a:graphic>
          </wp:inline>
        </w:drawing>
      </w:r>
    </w:p>
    <w:p w14:paraId="0970970F">
      <w:pPr>
        <w:ind w:firstLine="480"/>
        <w:jc w:val="center"/>
        <w:rPr>
          <w:sz w:val="18"/>
          <w:szCs w:val="18"/>
        </w:rPr>
      </w:pPr>
      <w:r>
        <w:rPr>
          <w:rFonts w:ascii="Times New Roman" w:hAnsi="Times New Roman"/>
          <w:b/>
          <w:sz w:val="18"/>
          <w:szCs w:val="18"/>
        </w:rPr>
        <w:t>图 2　级联编码与分帧路径：2 字节长度前缀位于外码码字内部，是分帧完整性的保护点；无外码时前缀裸露，单比特错误即可导致整条字节流错位</w:t>
      </w:r>
    </w:p>
    <w:p w14:paraId="361DBB16">
      <w:pPr>
        <w:ind w:firstLine="480"/>
        <w:rPr>
          <w:b w:val="0"/>
          <w:bCs w:val="0"/>
        </w:rPr>
      </w:pPr>
      <w:commentRangeStart w:id="7"/>
      <w:commentRangeEnd w:id="7"/>
    </w:p>
    <w:p w14:paraId="70FA9153">
      <w:pPr>
        <w:ind w:firstLine="480"/>
        <w:rPr>
          <w:b w:val="0"/>
          <w:bCs w:val="0"/>
        </w:rPr>
      </w:pPr>
      <w:commentRangeStart w:id="8"/>
      <w:commentRangeEnd w:id="8"/>
    </w:p>
    <w:p w14:paraId="52D7BE64">
      <w:pPr>
        <w:ind w:firstLine="480"/>
        <w:rPr>
          <w:b w:val="0"/>
          <w:bCs w:val="0"/>
        </w:rPr>
      </w:pPr>
      <w:r>
        <w:rPr>
          <w:b w:val="0"/>
          <w:bCs w:val="0"/>
        </w:rPr>
        <w:t>分帧完整性的作用定位：</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p>
    <w:p w14:paraId="3C9B78F2">
      <w:pPr>
        <w:ind w:firstLine="480"/>
        <w:rPr>
          <w:b w:val="0"/>
          <w:bCs w:val="0"/>
        </w:rPr>
      </w:pPr>
      <w:commentRangeStart w:id="9"/>
      <w:commentRangeEnd w:id="9"/>
    </w:p>
    <w:p w14:paraId="4B6135E9">
      <w:pPr>
        <w:ind w:firstLine="480"/>
        <w:rPr>
          <w:b w:val="0"/>
          <w:bCs w:val="0"/>
        </w:rPr>
      </w:pPr>
      <w:commentRangeStart w:id="10"/>
      <w:commentRangeEnd w:id="10"/>
    </w:p>
    <w:p w14:paraId="5E485B42">
      <w:pPr>
        <w:jc w:val="center"/>
      </w:pPr>
      <w:r>
        <w:drawing>
          <wp:inline distT="0" distB="0" distL="114300" distR="114300">
            <wp:extent cx="5168265" cy="2672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168823" cy="2672533"/>
                    </a:xfrm>
                    <a:prstGeom prst="rect">
                      <a:avLst/>
                    </a:prstGeom>
                  </pic:spPr>
                </pic:pic>
              </a:graphicData>
            </a:graphic>
          </wp:inline>
        </w:drawing>
      </w:r>
    </w:p>
    <w:p w14:paraId="13F9D03A">
      <w:pPr>
        <w:ind w:firstLine="480"/>
        <w:rPr>
          <w:b/>
          <w:bCs w:val="0"/>
          <w:sz w:val="18"/>
          <w:szCs w:val="18"/>
        </w:rPr>
      </w:pPr>
      <w:r>
        <w:rPr>
          <w:rFonts w:ascii="Times New Roman" w:hAnsi="Times New Roman" w:eastAsia="宋体"/>
          <w:b/>
          <w:bCs w:val="0"/>
          <w:sz w:val="18"/>
          <w:szCs w:val="18"/>
        </w:rPr>
        <w:t>图 3　容器误码放大因子 γ：同一物理误码流下四种传输栈的实测对比（压力工况：关闭外码）</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commentRangeStart w:id="11"/>
      <w:commentRangeEnd w:id="11"/>
    </w:p>
    <w:p w14:paraId="3FE21000">
      <w:pPr>
        <w:ind w:firstLine="480"/>
        <w:rPr>
          <w:b w:val="0"/>
          <w:bCs/>
        </w:rPr>
      </w:pPr>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p>
    <w:p w14:paraId="261662CA">
      <w:pPr>
        <w:ind w:firstLine="480"/>
        <w:rPr>
          <w:b w:val="0"/>
          <w:bCs/>
        </w:rPr>
      </w:pPr>
      <w:r>
        <w:rPr>
          <w:rFonts w:ascii="Times New Roman" w:hAnsi="Times New Roman" w:eastAsia="宋体"/>
          <w:b w:val="0"/>
          <w:bCs/>
          <w:sz w:val="24"/>
        </w:rPr>
        <w:t>- 拟采用方案：本部分需先完成一项使能性改造</w:t>
      </w:r>
      <w:r>
        <w:rPr>
          <w:rFonts w:hint="eastAsia"/>
          <w:b w:val="0"/>
          <w:bCs/>
          <w:sz w:val="24"/>
          <w:lang w:eastAsia="zh-CN"/>
        </w:rPr>
        <w:t>，</w:t>
      </w:r>
      <w:r>
        <w:rPr>
          <w:rFonts w:hint="eastAsia"/>
          <w:b w:val="0"/>
          <w:bCs/>
          <w:sz w:val="24"/>
          <w:lang w:val="en-US" w:eastAsia="zh-CN"/>
        </w:rPr>
        <w:t>即</w:t>
      </w:r>
      <w:r>
        <w:rPr>
          <w:rFonts w:ascii="Times New Roman" w:hAnsi="Times New Roman" w:eastAsia="宋体"/>
          <w:b w:val="0"/>
          <w:bCs/>
          <w:sz w:val="24"/>
        </w:rPr>
        <w:t>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commentRangeStart w:id="12"/>
      <w:commentRangeEnd w:id="12"/>
    </w:p>
    <w:p w14:paraId="379580F7">
      <w:pPr>
        <w:ind w:firstLine="480"/>
      </w:pPr>
      <w:commentRangeStart w:id="13"/>
      <w:commentRangeEnd w:id="13"/>
    </w:p>
    <w:p w14:paraId="577FC151">
      <w:pPr>
        <w:ind w:firstLine="480"/>
        <w:rPr>
          <w:b w:val="0"/>
          <w:bCs w:val="0"/>
        </w:rPr>
      </w:pPr>
      <w:r>
        <w:rPr>
          <w:rFonts w:ascii="Times New Roman" w:hAnsi="Times New Roman" w:eastAsia="宋体"/>
          <w:b w:val="0"/>
          <w:bCs w:val="0"/>
          <w:sz w:val="24"/>
        </w:rPr>
        <w:t>拟研究问题：（1）共存层——在同一波形上并发运行实时视频与目标检测时，视频业务对检测概率、距离估计与虚警率的影响有多大；payload 与 sensing_pilot 的资源配比应如何折中两侧性能；（2）延伸层——在共存基线成立的前提下，能否从同一 OFDM 波形的解调相位中提取人体呼吸与心跳信号。</w:t>
      </w:r>
    </w:p>
    <w:p w14:paraId="5C5A4834">
      <w:pPr>
        <w:ind w:firstLine="480"/>
        <w:rPr>
          <w:b w:val="0"/>
          <w:bCs w:val="0"/>
        </w:rPr>
      </w:pPr>
      <w:r>
        <w:rPr>
          <w:rFonts w:ascii="Times New Roman" w:hAnsi="Times New Roman" w:eastAsia="宋体"/>
          <w:b w:val="0"/>
          <w:bCs w:val="0"/>
          <w:sz w:val="24"/>
        </w:rPr>
        <w:t>共存层拟采用方案：以角反射器（或金属板）作为已知目标置于 2–5 m，分别在“关闭视频业务”与“开启视频业务（1200 kbps）”两种条件下测量检测概率、距离估计误差与虚警率；再在业务开启条件下改变 payload 与 sensing_pilot 的资源块配比（2–3 档），给出“业务吞吐—检测性能”的折中曲线。平台的资源块类型与配比由 YAML 配置提供，无需改动感知处理链路，因此本层实验不引入新的算法开发。</w:t>
      </w:r>
    </w:p>
    <w:p w14:paraId="0E9179A1">
      <w:pPr>
        <w:ind w:firstLine="480"/>
        <w:rPr>
          <w:b w:val="0"/>
          <w:bCs w:val="0"/>
        </w:rPr>
      </w:pPr>
      <w:commentRangeStart w:id="14"/>
      <w:commentRangeEnd w:id="14"/>
    </w:p>
    <w:p w14:paraId="3097307C">
      <w:pPr>
        <w:ind w:firstLine="480"/>
        <w:rPr>
          <w:b w:val="0"/>
          <w:bCs w:val="0"/>
        </w:rPr>
      </w:pPr>
      <w:r>
        <w:rPr>
          <w:rFonts w:ascii="Times New Roman" w:hAnsi="Times New Roman" w:eastAsia="宋体"/>
          <w:b w:val="0"/>
          <w:bCs w:val="0"/>
          <w:sz w:val="24"/>
        </w:rPr>
        <w:t>延伸层的相位灵敏度预算（定量前提）：在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rad（1.5°–3.7°），这才是真正受限于系统相位噪声底的部分，也是延伸目标必须先标定基线的原因。</w:t>
      </w:r>
    </w:p>
    <w:p w14:paraId="7BD4B339">
      <w:pPr>
        <w:ind w:firstLine="480"/>
        <w:rPr>
          <w:b w:val="0"/>
          <w:bCs w:val="0"/>
        </w:rPr>
      </w:pPr>
      <w:r>
        <w:rPr>
          <w:rFonts w:ascii="Times New Roman" w:hAnsi="Times New Roman" w:eastAsia="宋体"/>
          <w:b w:val="0"/>
          <w:bCs w:val="0"/>
          <w:sz w:val="24"/>
        </w:rPr>
        <w:t>延伸层拟采用方案：利用接收链路已有的导频相位跟踪与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05123C93">
      <w:pPr>
        <w:ind w:firstLine="480"/>
        <w:jc w:val="center"/>
        <w:rPr>
          <w:b w:val="0"/>
          <w:bCs w:val="0"/>
        </w:rPr>
      </w:pPr>
      <w:r>
        <w:drawing>
          <wp:inline distT="0" distB="0" distL="114300" distR="114300">
            <wp:extent cx="5168265" cy="2295525"/>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168823" cy="2295937"/>
                    </a:xfrm>
                    <a:prstGeom prst="rect">
                      <a:avLst/>
                    </a:prstGeom>
                  </pic:spPr>
                </pic:pic>
              </a:graphicData>
            </a:graphic>
          </wp:inline>
        </w:drawing>
      </w:r>
    </w:p>
    <w:p w14:paraId="62876B72">
      <w:pPr>
        <w:ind w:firstLine="480"/>
        <w:jc w:val="center"/>
        <w:rPr>
          <w:sz w:val="21"/>
          <w:szCs w:val="21"/>
        </w:rPr>
      </w:pPr>
      <w:r>
        <w:rPr>
          <w:rFonts w:ascii="Times New Roman" w:hAnsi="Times New Roman"/>
          <w:b/>
          <w:sz w:val="18"/>
          <w:szCs w:val="18"/>
        </w:rPr>
        <w:t>图 4　非接触微动感知处理架构与相位灵敏度预算（延伸目标）：λ = 96.8 mm @ 3.1 GHz；呼吸 0.52–1.04 rad，心跳 0.026–0.065 rad</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w:t>
      </w:r>
      <w:r>
        <w:rPr>
          <w:rFonts w:hint="eastAsia"/>
          <w:b w:val="0"/>
          <w:bCs w:val="0"/>
          <w:sz w:val="24"/>
          <w:lang w:eastAsia="zh-CN"/>
        </w:rPr>
        <w:t>，</w:t>
      </w:r>
      <w:r>
        <w:rPr>
          <w:rFonts w:hint="eastAsia"/>
          <w:b w:val="0"/>
          <w:bCs w:val="0"/>
          <w:sz w:val="24"/>
          <w:lang w:val="en-US" w:eastAsia="zh-CN"/>
        </w:rPr>
        <w:t>即</w:t>
      </w:r>
      <w:r>
        <w:rPr>
          <w:rFonts w:ascii="Times New Roman" w:hAnsi="Times New Roman" w:eastAsia="宋体"/>
          <w:b w:val="0"/>
          <w:bCs w:val="0"/>
          <w:sz w:val="24"/>
        </w:rPr>
        <w:t>先由长窗谱估计出呼吸基频及谐波幅度，重构呼吸相位分量并从观测相位中减去，再对残差做心跳频带谱估计；(b) 倒谱分析</w:t>
      </w:r>
      <w:r>
        <w:rPr>
          <w:rFonts w:hint="eastAsia"/>
          <w:b w:val="0"/>
          <w:bCs w:val="0"/>
          <w:sz w:val="24"/>
          <w:lang w:eastAsia="zh-CN"/>
        </w:rPr>
        <w:t>，</w:t>
      </w:r>
      <w:r>
        <w:rPr>
          <w:rFonts w:hint="eastAsia"/>
          <w:b w:val="0"/>
          <w:bCs w:val="0"/>
          <w:sz w:val="24"/>
          <w:lang w:val="en-US" w:eastAsia="zh-CN"/>
        </w:rPr>
        <w:t>即</w:t>
      </w:r>
      <w:r>
        <w:rPr>
          <w:rFonts w:ascii="Times New Roman" w:hAnsi="Times New Roman" w:eastAsia="宋体"/>
          <w:b w:val="0"/>
          <w:bCs w:val="0"/>
          <w:sz w:val="24"/>
        </w:rPr>
        <w:t>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分层目标（递进设计）：目标 0——共存基线（必做）：在含目标场景下测得检测概率、距离估计误差与虚警率，并与“关闭视频业务”的条件对照，给出资源配比折中曲线；目标 C——感知链路微动检测能力基线评估（相位噪声底、最小可检测体动幅度、所需 SNR）；目标 B——静止人体呼吸率可靠检测；目标 A——呼吸与心跳双参数提取与连续监测。四级目标逐级推进，前两级支撑学位论文的主体章节，后两级为条件性延伸。</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commentRangeStart w:id="15"/>
      <w:commentRangeEnd w:id="15"/>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commentRangeStart w:id="16"/>
      <w:commentRangeEnd w:id="16"/>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本课题采用“开源平台 + 受控实验 + 模型指导”的研究路线：以 OpenISAC 平台为统一试验载体，三个研究内容共享同一硬件链路与实验基础设施，逐层递进——研究点 1 建立跨层基线与方法论，研究点 2 在其上引入信道自适应维度，研究点 3 在同一波形上刻画通信—感知的共存关系，并评估向微动感知延伸的可行性。[技术路线总图见图 5]</w:t>
      </w:r>
    </w:p>
    <w:p w14:paraId="707231FF">
      <w:pPr>
        <w:jc w:val="center"/>
      </w:pPr>
      <w:r>
        <w:drawing>
          <wp:inline distT="0" distB="0" distL="114300" distR="114300">
            <wp:extent cx="5168265" cy="26784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168823" cy="2679252"/>
                    </a:xfrm>
                    <a:prstGeom prst="rect">
                      <a:avLst/>
                    </a:prstGeom>
                  </pic:spPr>
                </pic:pic>
              </a:graphicData>
            </a:graphic>
          </wp:inline>
        </w:drawing>
      </w:r>
    </w:p>
    <w:p w14:paraId="55933209">
      <w:pPr>
        <w:ind w:firstLine="480"/>
        <w:rPr>
          <w:sz w:val="18"/>
          <w:szCs w:val="18"/>
        </w:rPr>
      </w:pPr>
      <w:r>
        <w:rPr>
          <w:rFonts w:ascii="Times New Roman" w:hAnsi="Times New Roman" w:eastAsia="宋体"/>
          <w:b/>
          <w:sz w:val="18"/>
          <w:szCs w:val="18"/>
        </w:rPr>
        <w:t>图 5　技术路线总图：三条研究内容共享同一平台，按“分帧—容器—缓冲 → 激活点 → 共存 → 微动延伸”递进</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commentRangeStart w:id="17"/>
      <w:commentRangeEnd w:id="17"/>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稳态统计、语义保持扰动鲁棒性测试；共存测量以“开/关视频业务 × 不同资源配比”为条件，记录检测概率、距离误差与虚警率；微动延伸采用相位时序提取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2B3D2D42">
      <w:pPr>
        <w:ind w:firstLine="480"/>
        <w:rPr>
          <w:b w:val="0"/>
          <w:bCs w:val="0"/>
        </w:rPr>
      </w:pPr>
      <w:r>
        <w:rPr>
          <w:b w:val="0"/>
          <w:bCs w:val="0"/>
        </w:rPr>
        <w:t>1. RS 外码参数的可重构化（前置条件：先完成编解码器替换与单元自检）：将当前以编译期常量固定的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通信—感知资源配比与共存评估方法：在不改动平台感知处理链路的前提下，通过 payload 与 sensing_pilot 的资源块配比以及业务开关条件构造对照实验，量化两侧代价（研究点 3 关键）。</w:t>
      </w:r>
    </w:p>
    <w:p w14:paraId="7359620F">
      <w:pPr>
        <w:ind w:firstLine="480"/>
      </w:pPr>
      <w:r>
        <w:rPr>
          <w:rFonts w:ascii="Times New Roman" w:hAnsi="Times New Roman" w:eastAsia="宋体"/>
          <w:b w:val="0"/>
          <w:bCs w:val="0"/>
          <w:sz w:val="24"/>
        </w:rPr>
        <w:t>4. 导频相位的高精度复用与长时相参积累：把通信解调链路的导频相位跟踪输出改造为微动测量的相参相位源；延长相参处理窗后载波相位漂移成为主要误差源，拟采用相位差分/高通-带通级联滤波与参考距离门相位共模消除（研究点 3 延伸目标的关键）。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p>
    <w:p w14:paraId="7B9F6A44">
      <w:pPr>
        <w:jc w:val="center"/>
      </w:pPr>
      <w:r>
        <w:drawing>
          <wp:inline distT="0" distB="0" distL="114300" distR="114300">
            <wp:extent cx="5168265" cy="19367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168823" cy="1937268"/>
                    </a:xfrm>
                    <a:prstGeom prst="rect">
                      <a:avLst/>
                    </a:prstGeom>
                  </pic:spPr>
                </pic:pic>
              </a:graphicData>
            </a:graphic>
          </wp:inline>
        </w:drawing>
      </w:r>
    </w:p>
    <w:p w14:paraId="28664B03">
      <w:pPr>
        <w:ind w:firstLine="480"/>
        <w:rPr>
          <w:sz w:val="18"/>
          <w:szCs w:val="18"/>
        </w:rPr>
      </w:pPr>
      <w:r>
        <w:rPr>
          <w:rFonts w:ascii="Times New Roman" w:hAnsi="Times New Roman" w:eastAsia="宋体"/>
          <w:b/>
          <w:sz w:val="18"/>
          <w:szCs w:val="18"/>
        </w:rPr>
        <w:t>图 6　前期完成的端到端时延实测：(a) 五分钟采样轨迹（稳态 233–266 ms，无累积趋势）；(b) 时延分解（解码环节约占 80%）</w:t>
      </w:r>
    </w:p>
    <w:p w14:paraId="7FF20465">
      <w:pPr>
        <w:ind w:firstLine="480"/>
      </w:pPr>
      <w:r>
        <w:rPr>
          <w:rFonts w:ascii="Times New Roman" w:hAnsi="Times New Roman" w:eastAsia="宋体"/>
          <w:b w:val="0"/>
          <w:sz w:val="24"/>
        </w:rPr>
        <w:t>- 论文成果：基于研究点 1 的论文初稿已</w:t>
      </w:r>
      <w:r>
        <w:rPr>
          <w:rFonts w:hint="eastAsia"/>
          <w:b w:val="0"/>
          <w:sz w:val="24"/>
          <w:lang w:val="en-US" w:eastAsia="zh-CN"/>
        </w:rPr>
        <w:t>初步</w:t>
      </w:r>
      <w:r>
        <w:rPr>
          <w:rFonts w:ascii="Times New Roman" w:hAnsi="Times New Roman" w:eastAsia="宋体"/>
          <w:b w:val="0"/>
          <w:sz w:val="24"/>
        </w:rPr>
        <w:t>完成；因第三章外码结论撤回，拟按重测结果重写后投稿。</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扫描、容器放大因子实测、队列优化、延迟测量、参数边界扫描）；形成论文初稿</w:t>
      </w:r>
      <w:r>
        <w:rPr>
          <w:rFonts w:hint="eastAsia"/>
          <w:b w:val="0"/>
          <w:sz w:val="24"/>
          <w:lang w:eastAsia="zh-CN"/>
        </w:rPr>
        <w:t>。</w:t>
      </w:r>
    </w:p>
    <w:p w14:paraId="6C7C5646">
      <w:pPr>
        <w:ind w:firstLine="480"/>
      </w:pPr>
      <w:r>
        <w:rPr>
          <w:rFonts w:ascii="Times New Roman" w:hAnsi="Times New Roman" w:eastAsia="宋体"/>
          <w:b w:val="0"/>
          <w:sz w:val="24"/>
        </w:rPr>
        <w:t>- 第二学年第一学期（2026.09–2026.12）：研究内容 1 收尾：补充 γ 实验的量化 BER 工作点记录、复核实验数据样本量与关键数值；完成外码实现替换与单元自检；完成小论文定稿与投稿；启动 RS 外码可重构化改造（研究内容 2 使能性工作）。完成 RS 外码可重构化改造；完成研究内容 2 的 SNR/残差统计量构造、自适应映射模型建立与平台运行时实现；完成研究内容 3 目标 0 的场景与目标标定（角反射器就位、CFAR 检出打通、资源配比配置打通），并做微动相位谱可行性摸底（延伸目标预实验）；中期检查。同期在受控衰减扫描中完成四档外码的激活点曲线刻画（研究内容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第二学年寒假与第二学期（2027.01–2027.06）：完成研究内容 2 实测对比实验；完成研究内容 3 目标 0 的共存对照实验（开/关视频 × 资源配比）与目标 C 标定（相位噪声底、最小可检测位移），并推进呼吸率检测（目标 B）；企业/校外实践（按培养方案要求安排）。</w:t>
      </w:r>
    </w:p>
    <w:p w14:paraId="251735ED">
      <w:pPr>
        <w:ind w:firstLine="480"/>
      </w:pPr>
      <w:r>
        <w:rPr>
          <w:rFonts w:ascii="Times New Roman" w:hAnsi="Times New Roman" w:eastAsia="宋体"/>
          <w:b w:val="0"/>
          <w:sz w:val="24"/>
        </w:rPr>
        <w:t>- 第三学年第一学期（2027.09–2027.12）：完成研究内容 3 剩余实验（在共存基线与目标 B 达成的前提下争取双参数提取，目标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val="0"/>
          <w:bCs/>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commentRangeStart w:id="18"/>
      <w:commentRangeEnd w:id="18"/>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commentRangeStart w:id="19"/>
      <w:commentRangeEnd w:id="19"/>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研究点 3：给出“业务负载—资源配比—检测性能”的共存折中曲线，以及共存条件下检测概率相对无业务条件的下降幅度；在延伸目标上给出系统相位噪声底与最小可检测胸壁位移的实测标定值，力争呼吸率估计误差 ≤ 2 次/分（RMSE）、心率估计误差 ≤ 5 次/分（RMSE）。</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commentRangeStart w:id="20"/>
      <w:bookmarkStart w:id="0" w:name="_GoBack"/>
      <w:bookmarkEnd w:id="0"/>
      <w:commentRangeEnd w:id="20"/>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13DC4C00">
      <w:pPr>
        <w:ind w:firstLine="480"/>
      </w:pPr>
      <w:r>
        <w:rPr>
          <w:rFonts w:ascii="Times New Roman" w:hAnsi="Times New Roman" w:eastAsia="宋体"/>
          <w:b w:val="0"/>
          <w:sz w:val="24"/>
        </w:rPr>
        <w:t>[28] XUE W, WANG R, LIU L, WU D. Accurate multi-target vital signs detection method for FMCW radar[J]. Measurement, 2023, 223: 113715. DOI: 10.1016/j.measurement.2023.113715.</w:t>
      </w:r>
    </w:p>
    <w:p w14:paraId="455A8670">
      <w:pPr>
        <w:ind w:firstLine="480"/>
      </w:pPr>
      <w:r>
        <w:rPr>
          <w:rFonts w:ascii="Times New Roman" w:hAnsi="Times New Roman" w:eastAsia="宋体"/>
          <w:b w:val="0"/>
          <w:sz w:val="24"/>
        </w:rPr>
        <w:t>[29] XUE X, PARKAR S, YU S, ZHENG Y. AI-assisted composite ISAC for mmWave respiration pattern recognition[C]//2025 IEEE Annual Congress on Artificial Intelligence of Things (AIoT). 2025: 357-364. DOI: 10.1109/AIoT66900.2025.00059.</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EC65E7"/>
    <w:rsid w:val="22723659"/>
    <w:rsid w:val="267B162E"/>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5711</Words>
  <Characters>6682</Characters>
  <Lines>0</Lines>
  <Paragraphs>0</Paragraphs>
  <TotalTime>118</TotalTime>
  <ScaleCrop>false</ScaleCrop>
  <LinksUpToDate>false</LinksUpToDate>
  <CharactersWithSpaces>7004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2026-10-21T08:18:43Z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