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上海海事大学专业学位硕士学位论文开题报告</w:t>
      </w:r>
    </w:p>
    <w:p>
      <w:r>
        <w:rPr>
          <w:rFonts w:ascii="Times New Roman" w:hAnsi="Times New Roman" w:eastAsia="宋体"/>
          <w:b w:val="0"/>
          <w:i/>
          <w:sz w:val="21"/>
        </w:rPr>
        <w:t>**论文题目（拟）**：OFDM 通感一体化系统中实时视频传输与微动感知关键技术研究</w:t>
      </w:r>
    </w:p>
    <w:p>
      <w:r>
        <w:rPr>
          <w:rFonts w:ascii="Times New Roman" w:hAnsi="Times New Roman" w:eastAsia="宋体"/>
          <w:b w:val="0"/>
          <w:i/>
          <w:sz w:val="21"/>
        </w:rPr>
        <w:t>**姓名**：叶嘉锐　**学号**：[待填]　**专业/领域**：[待填]　**指导教师**：[待填]　**实践导师**：[待填]　**入学日期**：[待填]</w:t>
      </w:r>
    </w:p>
    <w:p>
      <w:r>
        <w:rPr>
          <w:rFonts w:ascii="Times New Roman" w:hAnsi="Times New Roman" w:eastAsia="宋体"/>
          <w:b w:val="0"/>
          <w:i/>
          <w:sz w:val="21"/>
        </w:rPr>
        <w:t>**培养类型**：全日制　**学位论文类别**：工程硕士·应用研究类</w:t>
      </w:r>
    </w:p>
    <w:p>
      <w:r>
        <w:rPr>
          <w:rFonts w:ascii="Times New Roman" w:hAnsi="Times New Roman" w:eastAsia="宋体"/>
          <w:b w:val="0"/>
          <w:i/>
          <w:sz w:val="21"/>
        </w:rPr>
        <w:t>**报告日期**：2026 年 10 月　**报告地点**：[待填]</w:t>
      </w:r>
    </w:p>
    <w:p>
      <w:r>
        <w:rPr>
          <w:rFonts w:ascii="Times New Roman" w:hAnsi="Times New Roman" w:eastAsia="宋体"/>
          <w:b w:val="0"/>
          <w:i/>
          <w:sz w:val="21"/>
        </w:rPr>
        <w:t>注：个人信息、成绩单、模板表格以学院下发版本为准。</w:t>
      </w:r>
    </w:p>
    <w:p>
      <w:r>
        <w:rPr>
          <w:rFonts w:ascii="Times New Roman" w:hAnsi="Times New Roman" w:eastAsia="黑体"/>
          <w:b/>
          <w:sz w:val="28"/>
        </w:rPr>
        <w:t>一、课程学习、技术标准学习及校内实践（实验）情况、参加科研和学术活动情况</w:t>
      </w:r>
    </w:p>
    <w:p>
      <w:pPr>
        <w:ind w:firstLine="480"/>
      </w:pPr>
      <w:r>
        <w:rPr>
          <w:rFonts w:ascii="Times New Roman" w:hAnsi="Times New Roman" w:eastAsia="宋体"/>
          <w:b w:val="0"/>
          <w:sz w:val="24"/>
        </w:rPr>
        <w:t>[本节由申请人按实际填写，建议包含：]</w:t>
      </w:r>
    </w:p>
    <w:p>
      <w:pPr>
        <w:ind w:firstLine="480"/>
      </w:pPr>
      <w:r>
        <w:rPr>
          <w:rFonts w:ascii="Times New Roman" w:hAnsi="Times New Roman" w:eastAsia="宋体"/>
          <w:b w:val="0"/>
          <w:sz w:val="24"/>
        </w:rPr>
        <w:t xml:space="preserve">- </w:t>
      </w:r>
      <w:r>
        <w:rPr>
          <w:rFonts w:ascii="Times New Roman" w:hAnsi="Times New Roman" w:eastAsia="宋体"/>
          <w:b/>
          <w:sz w:val="24"/>
        </w:rPr>
        <w:t>课程学习</w:t>
      </w:r>
      <w:r>
        <w:rPr>
          <w:rFonts w:ascii="Times New Roman" w:hAnsi="Times New Roman" w:eastAsia="宋体"/>
          <w:b w:val="0"/>
          <w:sz w:val="24"/>
        </w:rPr>
        <w:t>：[培养方案课程成绩单要点，建议突出与课题直接相关的课程，如：无线通信原理、信息论与编码、数字信号处理、嵌入式系统等]。</w:t>
      </w:r>
    </w:p>
    <w:p>
      <w:pPr>
        <w:ind w:firstLine="480"/>
      </w:pPr>
      <w:r>
        <w:rPr>
          <w:rFonts w:ascii="Times New Roman" w:hAnsi="Times New Roman" w:eastAsia="宋体"/>
          <w:b w:val="0"/>
          <w:sz w:val="24"/>
        </w:rPr>
        <w:t xml:space="preserve">- </w:t>
      </w:r>
      <w:r>
        <w:rPr>
          <w:rFonts w:ascii="Times New Roman" w:hAnsi="Times New Roman" w:eastAsia="宋体"/>
          <w:b/>
          <w:sz w:val="24"/>
        </w:rPr>
        <w:t>技术标准学习</w:t>
      </w:r>
      <w:r>
        <w:rPr>
          <w:rFonts w:ascii="Times New Roman" w:hAnsi="Times New Roman" w:eastAsia="宋体"/>
          <w:b w:val="0"/>
          <w:sz w:val="24"/>
        </w:rPr>
        <w:t>：系统学习了 3GPP 关于通感一体化（ISAC）信道建模与可行性的研究动态、ITU-R M.2160-0《2030 年及以后 IMT 发展的框架和总体目标》中 ISAC 作为六大场景之一的定义，以及 H.264/AVC（ITU-T H.264）、MPEG 传输流（ISO/IEC 13818-1）等视频传输相关标准。</w:t>
      </w:r>
    </w:p>
    <w:p>
      <w:pPr>
        <w:ind w:firstLine="480"/>
      </w:pPr>
      <w:r>
        <w:rPr>
          <w:rFonts w:ascii="Times New Roman" w:hAnsi="Times New Roman" w:eastAsia="宋体"/>
          <w:b w:val="0"/>
          <w:sz w:val="24"/>
        </w:rPr>
        <w:t xml:space="preserve">- </w:t>
      </w:r>
      <w:r>
        <w:rPr>
          <w:rFonts w:ascii="Times New Roman" w:hAnsi="Times New Roman" w:eastAsia="宋体"/>
          <w:b/>
          <w:sz w:val="24"/>
        </w:rPr>
        <w:t>校内实践（实验）</w:t>
      </w:r>
      <w:r>
        <w:rPr>
          <w:rFonts w:ascii="Times New Roman" w:hAnsi="Times New Roman" w:eastAsia="宋体"/>
          <w:b w:val="0"/>
          <w:sz w:val="24"/>
        </w:rPr>
        <w:t>：在实验室完成 OpenISAC 开源 OFDM 通感一体化平台（东南大学紫金山实验室发布，BSD-2 协议）的部署与二次开发，搭建了 USRP N320（基站）+ USRP B210（用户设备）的无线收发链路，实现了实时 H.264 视频业务与雷达感知业务在同一 OFDM 波形上的并发运行。</w:t>
      </w:r>
    </w:p>
    <w:p>
      <w:pPr>
        <w:ind w:firstLine="480"/>
      </w:pPr>
      <w:r>
        <w:rPr>
          <w:rFonts w:ascii="Times New Roman" w:hAnsi="Times New Roman" w:eastAsia="宋体"/>
          <w:b w:val="0"/>
          <w:sz w:val="24"/>
        </w:rPr>
        <w:t xml:space="preserve">  </w:t>
      </w:r>
      <w:r>
        <w:rPr>
          <w:rFonts w:ascii="Times New Roman" w:hAnsi="Times New Roman" w:eastAsia="宋体"/>
          <w:b/>
          <w:sz w:val="24"/>
        </w:rPr>
        <w:t>二次开发的核心工作是在原平台之上自主设计并实现了外层前向纠错（Reed-Solomon 外码）模块</w:t>
      </w:r>
      <w:r>
        <w:rPr>
          <w:rFonts w:ascii="Times New Roman" w:hAnsi="Times New Roman" w:eastAsia="宋体"/>
          <w:b w:val="0"/>
          <w:sz w:val="24"/>
        </w:rPr>
        <w:t>：原平台上行链路仅有 LDPC(1008,504) 内码，不含外码；本课题自行实现了 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pPr>
        <w:ind w:firstLine="480"/>
      </w:pPr>
      <w:r>
        <w:rPr>
          <w:rFonts w:ascii="Times New Roman" w:hAnsi="Times New Roman" w:eastAsia="宋体"/>
          <w:b w:val="0"/>
          <w:sz w:val="24"/>
        </w:rPr>
        <w:t xml:space="preserve">- </w:t>
      </w:r>
      <w:r>
        <w:rPr>
          <w:rFonts w:ascii="Times New Roman" w:hAnsi="Times New Roman" w:eastAsia="宋体"/>
          <w:b/>
          <w:sz w:val="24"/>
        </w:rPr>
        <w:t>科研与学术活动</w:t>
      </w:r>
      <w:r>
        <w:rPr>
          <w:rFonts w:ascii="Times New Roman" w:hAnsi="Times New Roman" w:eastAsia="宋体"/>
          <w:b w:val="0"/>
          <w:sz w:val="24"/>
        </w:rPr>
        <w:t>：[按实际填写，如：组会汇报、学术讲座、企业实践等]。</w:t>
      </w:r>
    </w:p>
    <w:p>
      <w:r>
        <w:rPr>
          <w:rFonts w:ascii="Times New Roman" w:hAnsi="Times New Roman" w:eastAsia="黑体"/>
          <w:b/>
          <w:sz w:val="28"/>
        </w:rPr>
        <w:t>二、论文选题背景、目的和意义</w:t>
      </w:r>
    </w:p>
    <w:p>
      <w:r>
        <w:rPr>
          <w:rFonts w:ascii="Times New Roman" w:hAnsi="Times New Roman" w:eastAsia="黑体"/>
          <w:b/>
          <w:sz w:val="25"/>
        </w:rPr>
        <w:t>2.1 选题背景</w:t>
      </w:r>
    </w:p>
    <w:p>
      <w:pPr>
        <w:ind w:firstLine="480"/>
      </w:pPr>
      <w:r>
        <w:rPr>
          <w:rFonts w:ascii="Times New Roman" w:hAnsi="Times New Roman" w:eastAsia="宋体"/>
          <w:b w:val="0"/>
          <w:sz w:val="24"/>
        </w:rPr>
        <w:t>第六代（6G）移动通信将通感一体化（Integrated Sensing and Communication, ISAC）列为六大关键使用场景之一：通信与雷达感知共享同一硬件平台、频谱资源与信号波形，使基站与终端在传输数据的同时具备对环境的感知能力。随着 5G-A/6G 向更高频段演进，通信与雷达在天线阵列、宽带 OFDM 波形与数字信号处理上的趋同日益显著，ISAC 被普遍认为是 6G 空口的原生能力。</w:t>
      </w:r>
    </w:p>
    <w:p>
      <w:pPr>
        <w:ind w:firstLine="480"/>
      </w:pPr>
      <w:r>
        <w:rPr>
          <w:rFonts w:ascii="Times New Roman" w:hAnsi="Times New Roman" w:eastAsia="宋体"/>
          <w:b w:val="0"/>
          <w:sz w:val="24"/>
        </w:rPr>
        <w:t>在 ISAC 链路可承载的各类业务中，</w:t>
      </w:r>
      <w:r>
        <w:rPr>
          <w:rFonts w:ascii="Times New Roman" w:hAnsi="Times New Roman" w:eastAsia="宋体"/>
          <w:b/>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帧，造成长达一个图像组（GOP）的花屏。因此，ISAC 视频业务把物理层编码链的误差统计特性与容器格式、解码器、缓冲队列等应用层选型紧密耦合在一起，构成一个典型的跨层设计问题。</w:t>
      </w:r>
    </w:p>
    <w:p>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引起的毫米级体动）——是当前学术界与产业界共同关注的热点。若能在承载视频业务的同一波形上实现微动感知，即可在一条链路上同时验证"通"与"感"双功能，为老人看护、应急搜救等应用提供低成本方案。</w:t>
      </w:r>
    </w:p>
    <w:p>
      <w:pPr>
        <w:ind w:firstLine="480"/>
      </w:pPr>
      <w:r>
        <w:rPr>
          <w:rFonts w:ascii="Times New Roman" w:hAnsi="Times New Roman" w:eastAsia="宋体"/>
          <w:b w:val="0"/>
          <w:sz w:val="24"/>
        </w:rPr>
        <w:t>需要指出的是，本课题的"通感一体化"并非把通信与感知两个独立任务简单叠加在同一硬件上，而是要求二者在</w:t>
      </w:r>
      <w:r>
        <w:rPr>
          <w:rFonts w:ascii="Times New Roman" w:hAnsi="Times New Roman" w:eastAsia="宋体"/>
          <w:b/>
          <w:sz w:val="24"/>
        </w:rPr>
        <w:t>同一 OFDM 波形的帧结构层面协同</w:t>
      </w:r>
      <w:r>
        <w:rPr>
          <w:rFonts w:ascii="Times New Roman" w:hAnsi="Times New Roman" w:eastAsia="宋体"/>
          <w:b w:val="0"/>
          <w:sz w:val="24"/>
        </w:rPr>
        <w:t>：视频业务的分组成帧决定了感知慢时间序列的采样格点，而感知所需的相参积累时长又反过来约束业务参数的切换时机。这一层耦合关系详见 4.3 节。</w:t>
      </w:r>
    </w:p>
    <w:p>
      <w:r>
        <w:rPr>
          <w:rFonts w:ascii="Times New Roman" w:hAnsi="Times New Roman" w:eastAsia="黑体"/>
          <w:b/>
          <w:sz w:val="25"/>
        </w:rPr>
        <w:t>2.2 研究目的</w:t>
      </w:r>
    </w:p>
    <w:p>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pPr>
        <w:jc w:val="center"/>
      </w:pPr>
      <w:r>
        <w:drawing>
          <wp:inline xmlns:a="http://schemas.openxmlformats.org/drawingml/2006/main" xmlns:pic="http://schemas.openxmlformats.org/drawingml/2006/picture">
            <wp:extent cx="5669280" cy="1889760"/>
            <wp:docPr id="1" name="Picture 1"/>
            <wp:cNvGraphicFramePr>
              <a:graphicFrameLocks noChangeAspect="1"/>
            </wp:cNvGraphicFramePr>
            <a:graphic>
              <a:graphicData uri="http://schemas.openxmlformats.org/drawingml/2006/picture">
                <pic:pic>
                  <pic:nvPicPr>
                    <pic:cNvPr id="0" name="fig1_topology.png"/>
                    <pic:cNvPicPr/>
                  </pic:nvPicPr>
                  <pic:blipFill>
                    <a:blip r:embed="rId9"/>
                    <a:stretch>
                      <a:fillRect/>
                    </a:stretch>
                  </pic:blipFill>
                  <pic:spPr>
                    <a:xfrm>
                      <a:off x="0" y="0"/>
                      <a:ext cx="5669280" cy="1889760"/>
                    </a:xfrm>
                    <a:prstGeom prst="rect"/>
                  </pic:spPr>
                </pic:pic>
              </a:graphicData>
            </a:graphic>
          </wp:inline>
        </w:drawing>
      </w:r>
    </w:p>
    <w:p>
      <w:pPr>
        <w:ind w:firstLine="480"/>
      </w:pPr>
      <w:r>
        <w:rPr>
          <w:rFonts w:ascii="Times New Roman" w:hAnsi="Times New Roman" w:eastAsia="宋体"/>
          <w:b/>
          <w:sz w:val="24"/>
        </w:rPr>
        <w:t>图 1　OpenISAC 平台上实时视频传输与雷达感知的系统拓扑</w:t>
      </w:r>
    </w:p>
    <w:p>
      <w:r>
        <w:rPr>
          <w:rFonts w:ascii="Times New Roman" w:hAnsi="Times New Roman" w:eastAsia="黑体"/>
          <w:b/>
          <w:sz w:val="25"/>
        </w:rPr>
        <w:t>2.3 研究意义</w:t>
      </w:r>
    </w:p>
    <w:p>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的成果已整理为英文期刊论文（已完成撰写）；研究点 3 面向智慧健康监测场景，符合专业学位"应用研究类"论文的定位。</w:t>
      </w:r>
    </w:p>
    <w:p>
      <w:r>
        <w:rPr>
          <w:rFonts w:ascii="Times New Roman" w:hAnsi="Times New Roman" w:eastAsia="黑体"/>
          <w:b/>
          <w:sz w:val="28"/>
        </w:rPr>
        <w:t>三、国内外研究现状及发展动态分析</w:t>
      </w:r>
    </w:p>
    <w:p>
      <w:r>
        <w:rPr>
          <w:rFonts w:ascii="Times New Roman" w:hAnsi="Times New Roman" w:eastAsia="黑体"/>
          <w:b/>
          <w:sz w:val="25"/>
        </w:rPr>
        <w:t>3.1 ISAC 平台与空口实验</w:t>
      </w:r>
    </w:p>
    <w:p>
      <w:pPr>
        <w:ind w:firstLine="480"/>
      </w:pPr>
      <w:r>
        <w:rPr>
          <w:rFonts w:ascii="Times New Roman" w:hAnsi="Times New Roman" w:eastAsia="宋体"/>
          <w:b w:val="0"/>
          <w:sz w:val="24"/>
        </w:rPr>
        <w:t>OFDM 波形融合通信与雷达感知的处理框架由 Sturm 与 Wiesbeck 系统建立（Proc. IEEE 2011）。此后 ISAC 理论研究迅速展开：Liu 等系统综述了双功能无线网络的波形与系统设计；Wei 等面向 5G-A/6G 综述了 ISAC 信号设计；Kaushik 等从标准化视角梳理了 ITU-R 与 3GPP 的推进路径。相比理论的繁荣，</w:t>
      </w:r>
      <w:r>
        <w:rPr>
          <w:rFonts w:ascii="Times New Roman" w:hAnsi="Times New Roman" w:eastAsia="宋体"/>
          <w:b/>
          <w:sz w:val="24"/>
        </w:rPr>
        <w:t>空口实时实验</w:t>
      </w:r>
      <w:r>
        <w:rPr>
          <w:rFonts w:ascii="Times New Roman" w:hAnsi="Times New Roman" w:eastAsia="宋体"/>
          <w:b w:val="0"/>
          <w:sz w:val="24"/>
        </w:rPr>
        <w:t>长期是短板。近年开源平台开始填补该空白：Brunner 等实现了双站 ISAC 的空口同步；Zhou 等（东南大学）发布 OpenISAC——支持单/双站感知、YAML 运行时配置、USRP 硬件生态的开源实时 OFDM-ISAC 平台；Rahman、Zhang 等提出了感知移动网络（Perceptive Mobile Network）框架，把蜂窝网络作为感知传感器网络。</w:t>
      </w:r>
    </w:p>
    <w:p>
      <w:pPr>
        <w:ind w:firstLine="480"/>
      </w:pPr>
      <w:r>
        <w:rPr>
          <w:rFonts w:ascii="Times New Roman" w:hAnsi="Times New Roman" w:eastAsia="宋体"/>
          <w:b/>
          <w:sz w:val="24"/>
        </w:rPr>
        <w:t>现有不足</w:t>
      </w:r>
      <w:r>
        <w:rPr>
          <w:rFonts w:ascii="Times New Roman" w:hAnsi="Times New Roman" w:eastAsia="宋体"/>
          <w:b w:val="0"/>
          <w:sz w:val="24"/>
        </w:rPr>
        <w:t>：上述平台的评估对象是感知精度与链路吞吐，均未研究"连续媒体业务"（尤其是实时视频）在真实 ISAC 链路上的端到端表现——容器封装、解码器行为与缓冲设计仍是不被审视的工程默认值。</w:t>
      </w:r>
    </w:p>
    <w:p>
      <w:r>
        <w:rPr>
          <w:rFonts w:ascii="Times New Roman" w:hAnsi="Times New Roman" w:eastAsia="黑体"/>
          <w:b/>
          <w:sz w:val="25"/>
        </w:rPr>
        <w:t>3.2 无线视频传输与跨层设计</w:t>
      </w:r>
    </w:p>
    <w:p>
      <w:pPr>
        <w:ind w:firstLine="480"/>
      </w:pPr>
      <w:r>
        <w:rPr>
          <w:rFonts w:ascii="Times New Roman" w:hAnsi="Times New Roman" w:eastAsia="宋体"/>
          <w:b w:val="0"/>
          <w:sz w:val="24"/>
        </w:rPr>
        <w:t>无线视频的抗误码传输已有大量研究：Immich 等综述了弹性视频传输机制；Xu 等研究了包级 FEC 与协作分集的联合设计；Alaoui-Fdili 等提出面向无线视频传感网的 H.264 跨层方案；Nishat 等综述了无线自适应码率流媒体；Tran Thai 等提出 Tetrys 在线网络编码的冗余度自适应算法。近年学习型联合信源信道编码（JSCC，如 DeepWiVe）尝试端到端替换传统栈，但要求更换编解码器，难以在既有 H.264 生态上部署。</w:t>
      </w:r>
    </w:p>
    <w:p>
      <w:pPr>
        <w:ind w:firstLine="480"/>
      </w:pPr>
      <w:r>
        <w:rPr>
          <w:rFonts w:ascii="Times New Roman" w:hAnsi="Times New Roman" w:eastAsia="宋体"/>
          <w:b/>
          <w:sz w:val="24"/>
        </w:rPr>
        <w:t>现有不足</w:t>
      </w:r>
      <w:r>
        <w:rPr>
          <w:rFonts w:ascii="Times New Roman" w:hAnsi="Times New Roman" w:eastAsia="宋体"/>
          <w:b w:val="0"/>
          <w:sz w:val="24"/>
        </w:rPr>
        <w:t>：这些工作大多假设物理层给定或抽象为包删除信道，优化空间局限于应用层；而 ISAC 原型平台的物理层恰恰是</w:t>
      </w:r>
      <w:r>
        <w:rPr>
          <w:rFonts w:ascii="Times New Roman" w:hAnsi="Times New Roman" w:eastAsia="宋体"/>
          <w:b/>
          <w:sz w:val="24"/>
        </w:rPr>
        <w:t>可配置</w:t>
      </w:r>
      <w:r>
        <w:rPr>
          <w:rFonts w:ascii="Times New Roman" w:hAnsi="Times New Roman" w:eastAsia="宋体"/>
          <w:b w:val="0"/>
          <w:sz w:val="24"/>
        </w:rPr>
        <w:t>的——外码强度、导频密度、循环前缀均可调整。"强编码物理层之上的视频业务还需要多少保护、保护应加在哪一层"这一问题，尚无基于实测的系统回答。</w:t>
      </w:r>
    </w:p>
    <w:p>
      <w:r>
        <w:rPr>
          <w:rFonts w:ascii="Times New Roman" w:hAnsi="Times New Roman" w:eastAsia="黑体"/>
          <w:b/>
          <w:sz w:val="25"/>
        </w:rPr>
        <w:t>3.3 级联信道编码与残留误码处理</w:t>
      </w:r>
    </w:p>
    <w:p>
      <w:pPr>
        <w:ind w:firstLine="480"/>
      </w:pPr>
      <w:r>
        <w:rPr>
          <w:rFonts w:ascii="Times New Roman" w:hAnsi="Times New Roman" w:eastAsia="宋体"/>
          <w:b w:val="0"/>
          <w:sz w:val="24"/>
        </w:rPr>
        <w:t>针对突发与残留错误，RS 外码 + 内码（卷积码/LDPC）的级联结构是经典方案（Lin 与 Costello）。传统设计按</w:t>
      </w:r>
      <w:r>
        <w:rPr>
          <w:rFonts w:ascii="Times New Roman" w:hAnsi="Times New Roman" w:eastAsia="宋体"/>
          <w:b/>
          <w:sz w:val="24"/>
        </w:rPr>
        <w:t>建模的最坏情况</w:t>
      </w:r>
      <w:r>
        <w:rPr>
          <w:rFonts w:ascii="Times New Roman" w:hAnsi="Times New Roman" w:eastAsia="宋体"/>
          <w:b w:val="0"/>
          <w:sz w:val="24"/>
        </w:rPr>
        <w:t>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w:t>
      </w:r>
      <w:r>
        <w:rPr>
          <w:rFonts w:ascii="Times New Roman" w:hAnsi="Times New Roman" w:eastAsia="宋体"/>
          <w:b/>
          <w:sz w:val="24"/>
        </w:rPr>
        <w:t>实测残差统计</w:t>
      </w:r>
      <w:r>
        <w:rPr>
          <w:rFonts w:ascii="Times New Roman" w:hAnsi="Times New Roman" w:eastAsia="宋体"/>
          <w:b w:val="0"/>
          <w:sz w:val="24"/>
        </w:rPr>
        <w:t>而非模型假设来配置外码，并进一步依据信道状态</w:t>
      </w:r>
      <w:r>
        <w:rPr>
          <w:rFonts w:ascii="Times New Roman" w:hAnsi="Times New Roman" w:eastAsia="宋体"/>
          <w:b/>
          <w:sz w:val="24"/>
        </w:rPr>
        <w:t>自适应切换</w:t>
      </w:r>
      <w:r>
        <w:rPr>
          <w:rFonts w:ascii="Times New Roman" w:hAnsi="Times New Roman" w:eastAsia="宋体"/>
          <w:b w:val="0"/>
          <w:sz w:val="24"/>
        </w:rPr>
        <w:t>码率，是级联编码在 ISAC 场景下的新问题。</w:t>
      </w:r>
    </w:p>
    <w:p>
      <w:r>
        <w:rPr>
          <w:rFonts w:ascii="Times New Roman" w:hAnsi="Times New Roman" w:eastAsia="黑体"/>
          <w:b/>
          <w:sz w:val="25"/>
        </w:rPr>
        <w:t>3.4 ISAC 人体感知与生命体征监测</w:t>
      </w:r>
    </w:p>
    <w:p>
      <w:pPr>
        <w:ind w:firstLine="480"/>
      </w:pPr>
      <w:r>
        <w:rPr>
          <w:rFonts w:ascii="Times New Roman" w:hAnsi="Times New Roman" w:eastAsia="宋体"/>
          <w:b w:val="0"/>
          <w:sz w:val="24"/>
        </w:rPr>
        <w:t>非接触生命体征检测是被大量复现的感知能力：基于 FMCW 毫米波雷达（如 Eder 与 Eldar 的稀疏多人体监测、Pi-ViMo 的鲁棒监测、谐波 MUSIC 频率估计）与基于 Wi-Fi CSI 的方案均能提取呼吸与心跳信号。在蜂窝/ISAC 框架下，Li、Cui、Zhang 等提出"人体活动感知与通信一体化"（Integrated Human Activity Sensing and Communications）的框架性论述，Rahman 等的感知移动网络框架亦把人体作为感知对象。</w:t>
      </w:r>
    </w:p>
    <w:p>
      <w:pPr>
        <w:ind w:firstLine="480"/>
      </w:pPr>
      <w:r>
        <w:rPr>
          <w:rFonts w:ascii="Times New Roman" w:hAnsi="Times New Roman" w:eastAsia="宋体"/>
          <w:b/>
          <w:sz w:val="24"/>
        </w:rPr>
        <w:t>现有不足与机会</w:t>
      </w:r>
      <w:r>
        <w:rPr>
          <w:rFonts w:ascii="Times New Roman" w:hAnsi="Times New Roman" w:eastAsia="宋体"/>
          <w:b w:val="0"/>
          <w:sz w:val="24"/>
        </w:rPr>
        <w:t>：现有生命体征感知多基于专用雷达硬件或商用 Wi-Fi 芯片；</w:t>
      </w:r>
      <w:r>
        <w:rPr>
          <w:rFonts w:ascii="Times New Roman" w:hAnsi="Times New Roman" w:eastAsia="宋体"/>
          <w:b/>
          <w:sz w:val="24"/>
        </w:rPr>
        <w:t>在承载实时业务的开源 OFDM-ISAC 平台上、利用通信解调链路已有的相位信息做微动提取</w:t>
      </w:r>
      <w:r>
        <w:rPr>
          <w:rFonts w:ascii="Times New Roman" w:hAnsi="Times New Roman" w:eastAsia="宋体"/>
          <w:b w:val="0"/>
          <w:sz w:val="24"/>
        </w:rPr>
        <w:t>的研究仍然很少。这既是本课题研究点 3 的切入点，其平台基础（相位测量、帧级相参处理）又已在研究点 1 中就绪。</w:t>
      </w:r>
    </w:p>
    <w:p>
      <w:r>
        <w:rPr>
          <w:rFonts w:ascii="Times New Roman" w:hAnsi="Times New Roman" w:eastAsia="黑体"/>
          <w:b/>
          <w:sz w:val="28"/>
        </w:rPr>
        <w:t>四、主要研究内容、研究目标、拟解决的关键问题</w:t>
      </w:r>
    </w:p>
    <w:p>
      <w:r>
        <w:rPr>
          <w:rFonts w:ascii="Times New Roman" w:hAnsi="Times New Roman" w:eastAsia="黑体"/>
          <w:b/>
          <w:sz w:val="25"/>
        </w:rPr>
        <w:t>4.1 研究目标（总）</w:t>
      </w:r>
    </w:p>
    <w:p>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r>
        <w:rPr>
          <w:rFonts w:ascii="Times New Roman" w:hAnsi="Times New Roman" w:eastAsia="黑体"/>
          <w:b/>
          <w:sz w:val="25"/>
        </w:rPr>
        <w:t>4.2 主要研究内容</w:t>
      </w:r>
    </w:p>
    <w:p>
      <w:pPr>
        <w:ind w:firstLine="480"/>
      </w:pPr>
      <w:r>
        <w:rPr>
          <w:rFonts w:ascii="Times New Roman" w:hAnsi="Times New Roman" w:eastAsia="宋体"/>
          <w:b/>
          <w:sz w:val="24"/>
        </w:rPr>
        <w:t>研究内容 1：强编码 ISAC 链路上实时视频传输的跨层优化（已基本完成，收尾整理中）</w:t>
      </w:r>
    </w:p>
    <w:p>
      <w:pPr>
        <w:ind w:firstLine="480"/>
      </w:pPr>
      <w:r>
        <w:rPr>
          <w:rFonts w:ascii="Times New Roman" w:hAnsi="Times New Roman" w:eastAsia="宋体"/>
          <w:b w:val="0"/>
          <w:sz w:val="24"/>
        </w:rPr>
        <w:t xml:space="preserve">- </w:t>
      </w:r>
      <w:r>
        <w:rPr>
          <w:rFonts w:ascii="Times New Roman" w:hAnsi="Times New Roman" w:eastAsia="宋体"/>
          <w:b/>
          <w:sz w:val="24"/>
        </w:rPr>
        <w:t>RS 外码模块的自主设计与实现</w:t>
      </w:r>
      <w:r>
        <w:rPr>
          <w:rFonts w:ascii="Times New Roman" w:hAnsi="Times New Roman" w:eastAsia="宋体"/>
          <w:b w:val="0"/>
          <w:sz w:val="24"/>
        </w:rPr>
        <w:t>：在原平台仅含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内码"的级联纠错结构。码参数 K 以编译期常量方式配置，四档配置通过修改常量并重新编译依次获得。</w:t>
      </w:r>
    </w:p>
    <w:p>
      <w:pPr>
        <w:ind w:firstLine="480"/>
      </w:pPr>
      <w:r>
        <w:rPr>
          <w:rFonts w:ascii="Times New Roman" w:hAnsi="Times New Roman" w:eastAsia="宋体"/>
          <w:b w:val="0"/>
          <w:sz w:val="24"/>
        </w:rPr>
        <w:t xml:space="preserve">- </w:t>
      </w:r>
      <w:r>
        <w:rPr>
          <w:rFonts w:ascii="Times New Roman" w:hAnsi="Times New Roman" w:eastAsia="宋体"/>
          <w:b/>
          <w:sz w:val="24"/>
        </w:rPr>
        <w:t>外码冗余的 Pareto 分析</w:t>
      </w:r>
      <w:r>
        <w:rPr>
          <w:rFonts w:ascii="Times New Roman" w:hAnsi="Times New Roman" w:eastAsia="宋体"/>
          <w:b w:val="0"/>
          <w:sz w:val="24"/>
        </w:rPr>
        <w:t>：对上述四档配置（K=223/207/191/179，冗余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w:t>
      </w:r>
      <w:r>
        <w:rPr>
          <w:rFonts w:ascii="Times New Roman" w:hAnsi="Times New Roman" w:eastAsia="宋体"/>
          <w:b/>
          <w:sz w:val="24"/>
        </w:rPr>
        <w:t>该结论揭示了一个可迁移的设计准则：在 LDPC 内码已足够强的级联链路中，外码只需"覆盖内码残差上界的最小充分能力"，而非按最坏情况取最强配置。</w:t>
      </w:r>
    </w:p>
    <w:p>
      <w:pPr>
        <w:ind w:firstLine="480"/>
      </w:pPr>
      <w:r>
        <w:rPr>
          <w:rFonts w:ascii="Times New Roman" w:hAnsi="Times New Roman" w:eastAsia="宋体"/>
          <w:b w:val="0"/>
          <w:sz w:val="24"/>
        </w:rPr>
        <w:t xml:space="preserve">- </w:t>
      </w:r>
      <w:r>
        <w:rPr>
          <w:rFonts w:ascii="Times New Roman" w:hAnsi="Times New Roman" w:eastAsia="宋体"/>
          <w:b/>
          <w:sz w:val="24"/>
        </w:rPr>
        <w:t>容器误码脆弱性建模与实测</w:t>
      </w:r>
      <w:r>
        <w:rPr>
          <w:rFonts w:ascii="Times New Roman" w:hAnsi="Times New Roman" w:eastAsia="宋体"/>
          <w:b w:val="0"/>
          <w:sz w:val="24"/>
        </w:rPr>
        <w:t>：建立 MPEG-TS 容器放大因子 γ 模型（仅头部暴露即预测 γ≈7×），在关闭外码的极限压力实验下实测四种传输栈的 γ（MPEG-TS+VLC ≈500×、MPEG-TS+ffplay ≈150×、裸流+ffplay ≈8×、裸流+GStreamer ≈4×），指导裸 H.264 Annex B + 容错解码器的架构选择。</w:t>
      </w:r>
    </w:p>
    <w:p>
      <w:pPr>
        <w:ind w:firstLine="480"/>
      </w:pPr>
      <w:r>
        <w:rPr>
          <w:rFonts w:ascii="Times New Roman" w:hAnsi="Times New Roman" w:eastAsia="宋体"/>
          <w:b w:val="0"/>
          <w:sz w:val="24"/>
        </w:rPr>
        <w:t xml:space="preserve">- </w:t>
      </w:r>
      <w:r>
        <w:rPr>
          <w:rFonts w:ascii="Times New Roman" w:hAnsi="Times New Roman" w:eastAsia="宋体"/>
          <w:b/>
          <w:sz w:val="24"/>
        </w:rPr>
        <w:t>缓冲队列与延迟累积消除</w:t>
      </w:r>
      <w:r>
        <w:rPr>
          <w:rFonts w:ascii="Times New Roman" w:hAnsi="Times New Roman" w:eastAsia="宋体"/>
          <w:b w:val="0"/>
          <w:sz w:val="24"/>
        </w:rPr>
        <w:t xml:space="preserve">：将四级队列深度从 32 削减至 4–8 并以非阻塞 `try_push` 替代阻塞写入，切断"解码器阻塞→缓冲堆积→反压→更深队列"的正反馈环路；实测端到端延迟稳定在 </w:t>
      </w:r>
      <w:r>
        <w:rPr>
          <w:rFonts w:ascii="Times New Roman" w:hAnsi="Times New Roman" w:eastAsia="宋体"/>
          <w:b/>
          <w:sz w:val="24"/>
        </w:rPr>
        <w:t>250 ms 量级</w:t>
      </w:r>
      <w:r>
        <w:rPr>
          <w:rFonts w:ascii="Times New Roman" w:hAnsi="Times New Roman" w:eastAsia="宋体"/>
          <w:b w:val="0"/>
          <w:sz w:val="24"/>
        </w:rPr>
        <w:t>（连续 5 分钟测量中前 74 秒 4 个采样点均值为 250.3 ms），且无随时间累积趋势，其中视频解码环节占主导。需说明的是，本测量采用秒表法（拍摄设备 30 fps，时间分辨率约 33 ms），因此报告精度以"约 250 ms / 无累积趋势"为准。</w:t>
      </w:r>
    </w:p>
    <w:p>
      <w:pPr>
        <w:ind w:firstLine="480"/>
      </w:pPr>
      <w:r>
        <w:rPr>
          <w:rFonts w:ascii="Times New Roman" w:hAnsi="Times New Roman" w:eastAsia="宋体"/>
          <w:b w:val="0"/>
          <w:sz w:val="24"/>
        </w:rPr>
        <w:t xml:space="preserve">- </w:t>
      </w:r>
      <w:r>
        <w:rPr>
          <w:rFonts w:ascii="Times New Roman" w:hAnsi="Times New Roman" w:eastAsia="宋体"/>
          <w:b/>
          <w:sz w:val="24"/>
        </w:rPr>
        <w:t>调制与波形参数边界</w:t>
      </w:r>
      <w:r>
        <w:rPr>
          <w:rFonts w:ascii="Times New Roman" w:hAnsi="Times New Roman" w:eastAsia="宋体"/>
          <w:b w:val="0"/>
          <w:sz w:val="24"/>
        </w:rPr>
        <w:t>：实测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3_gamma.png"/>
                    <pic:cNvPicPr/>
                  </pic:nvPicPr>
                  <pic:blipFill>
                    <a:blip r:embed="rId10"/>
                    <a:stretch>
                      <a:fillRect/>
                    </a:stretch>
                  </pic:blipFill>
                  <pic:spPr>
                    <a:xfrm>
                      <a:off x="0" y="0"/>
                      <a:ext cx="5669280" cy="2834640"/>
                    </a:xfrm>
                    <a:prstGeom prst="rect"/>
                  </pic:spPr>
                </pic:pic>
              </a:graphicData>
            </a:graphic>
          </wp:inline>
        </w:drawing>
      </w:r>
    </w:p>
    <w:p>
      <w:pPr>
        <w:ind w:firstLine="480"/>
      </w:pPr>
      <w:r>
        <w:rPr>
          <w:rFonts w:ascii="Times New Roman" w:hAnsi="Times New Roman" w:eastAsia="宋体"/>
          <w:b/>
          <w:sz w:val="24"/>
        </w:rPr>
        <w:t>图 2　容器误码放大因子 γ：模型预测与四种传输栈实测对比（RS 外码禁用压力测试）</w:t>
      </w:r>
    </w:p>
    <w:p>
      <w:pPr>
        <w:ind w:firstLine="480"/>
      </w:pPr>
      <w:r>
        <w:rPr>
          <w:rFonts w:ascii="Times New Roman" w:hAnsi="Times New Roman" w:eastAsia="宋体"/>
          <w:b/>
          <w:sz w:val="24"/>
        </w:rPr>
        <w:t>研究内容 2（拟研究）：信道自适应的可靠传输机制</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：研究点 1 证明固定 RS(255,223) 在实验室 SNR 下"过保护"。当信道条件随距离/遮挡/干扰变化时，如何在线选择码率参数？</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：本部分需先完成一项使能性改造——</w:t>
      </w:r>
      <w:r>
        <w:rPr>
          <w:rFonts w:ascii="Times New Roman" w:hAnsi="Times New Roman" w:eastAsia="宋体"/>
          <w:b/>
          <w:sz w:val="24"/>
        </w:rPr>
        <w:t>将 RS 外码由当前"编译期常量 K + 单档生成多项式"改造为运行时可配置</w:t>
      </w:r>
      <w:r>
        <w:rPr>
          <w:rFonts w:ascii="Times New Roman" w:hAnsi="Times New Roman" w:eastAsia="宋体"/>
          <w:b w:val="0"/>
          <w:sz w:val="24"/>
        </w:rPr>
        <w:t>（运行期选择 K 并动态生成 g(x)），这是实现参数热切换的必要前提，本身即构成对平台的工程贡献。在此基础上：以解调链路已有的导频相位与信道估计输出构造实时 SNR / 残差错统计量；建立 SNR → 最优外码参数（223/207/191/179 四档）与调制阶数的映射模型；在平台运行时层实现参数热切换，以吞吐—可靠性联合指标评估。与 Tetrys 类冗余自适应算法思想相通，但适配 ISAC 物理层可配置性这一新自由度。</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：自适应切换策略的实测对比（固定 vs 自适应的吞吐/可靠性曲线）。</w:t>
      </w:r>
    </w:p>
    <w:p>
      <w:pPr>
        <w:ind w:firstLine="480"/>
      </w:pPr>
      <w:r>
        <w:rPr>
          <w:rFonts w:ascii="Times New Roman" w:hAnsi="Times New Roman" w:eastAsia="宋体"/>
          <w:b/>
          <w:sz w:val="24"/>
        </w:rPr>
        <w:t>研究内容 3（拟研究）：基于通信波形的非接触微动感知</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：在承载视频业务的同时，能否从同一 OFDM 波形的解调相位中提取人体呼吸与心跳信号？</w:t>
      </w:r>
    </w:p>
    <w:p>
      <w:pPr>
        <w:ind w:firstLine="480"/>
      </w:pPr>
      <w:r>
        <w:rPr>
          <w:rFonts w:ascii="Times New Roman" w:hAnsi="Times New Roman" w:eastAsia="宋体"/>
          <w:b w:val="0"/>
          <w:sz w:val="24"/>
        </w:rPr>
        <w:t xml:space="preserve">- </w:t>
      </w:r>
      <w:r>
        <w:rPr>
          <w:rFonts w:ascii="Times New Roman" w:hAnsi="Times New Roman" w:eastAsia="宋体"/>
          <w:b/>
          <w:sz w:val="24"/>
        </w:rPr>
        <w:t>相位灵敏度预算（定量前提）</w:t>
      </w:r>
      <w:r>
        <w:rPr>
          <w:rFonts w:ascii="Times New Roman" w:hAnsi="Times New Roman" w:eastAsia="宋体"/>
          <w:b w:val="0"/>
          <w:sz w:val="24"/>
        </w:rPr>
        <w:t>：在 3.5 GHz 载波下波长 λ≈85.7 mm，胸壁往返位移 d 引起的相位变化为 Δφ = 4πd/λ。呼吸引起的胸壁位移约 4–8 mm，对应 Δφ ≈ 0.59–1.17 rad（34°–67°），量级充裕；心跳引起的胸壁位移约 0.2–0.5 mm，对应 Δφ ≈ 0.03–0.07 rad（1.7°–4°），</w:t>
      </w:r>
      <w:r>
        <w:rPr>
          <w:rFonts w:ascii="Times New Roman" w:hAnsi="Times New Roman" w:eastAsia="宋体"/>
          <w:b/>
          <w:sz w:val="24"/>
        </w:rPr>
        <w:t>这才是真正受限于系统相位噪声底的部分</w:t>
      </w:r>
      <w:r>
        <w:rPr>
          <w:rFonts w:ascii="Times New Roman" w:hAnsi="Times New Roman" w:eastAsia="宋体"/>
          <w:b w:val="0"/>
          <w:sz w:val="24"/>
        </w:rPr>
        <w:t>，也是目标 C 必须先标定的原因。</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：利用接收链路已有的导频相位跟踪与 ZF 均衡输出，对静止人体所在距离门的相位做时序提取；加长相参处理时间（多普勒 FFT 点数 100→4096 级，对应约 9.4 s 观测窗、频率分辨率优于 0.11 Hz）并切换到相位域处理；采用"</w:t>
      </w:r>
      <w:r>
        <w:rPr>
          <w:rFonts w:ascii="Times New Roman" w:hAnsi="Times New Roman" w:eastAsia="宋体"/>
          <w:b/>
          <w:sz w:val="24"/>
        </w:rPr>
        <w:t>相位差分 / 高通-带通级联滤波 + 参考距离门相位共模消除</w:t>
      </w:r>
      <w:r>
        <w:rPr>
          <w:rFonts w:ascii="Times New Roman" w:hAnsi="Times New Roman" w:eastAsia="宋体"/>
          <w:b w:val="0"/>
          <w:sz w:val="24"/>
        </w:rPr>
        <w:t>"抑制载波相位漂移——需特别说明，单站自发自收模式下收发共用本振，相位噪声在往返回波上呈共模特性，可经共模相消显著抑制，这是选择单站模式的主要理由（</w:t>
      </w:r>
      <w:r>
        <w:rPr>
          <w:rFonts w:ascii="Times New Roman" w:hAnsi="Times New Roman" w:eastAsia="宋体"/>
          <w:b/>
          <w:sz w:val="24"/>
        </w:rPr>
        <w:t>而非依赖时钟源驯服——GPSDO 只能改善长期频漂，对 0.1–100 Hz 近载波相噪无效</w:t>
      </w:r>
      <w:r>
        <w:rPr>
          <w:rFonts w:ascii="Times New Roman" w:hAnsi="Times New Roman" w:eastAsia="宋体"/>
          <w:b w:val="0"/>
          <w:sz w:val="24"/>
        </w:rPr>
        <w:t>）。</w:t>
      </w:r>
    </w:p>
    <w:p>
      <w:pPr>
        <w:ind w:firstLine="480"/>
      </w:pPr>
      <w:r>
        <w:rPr>
          <w:rFonts w:ascii="Times New Roman" w:hAnsi="Times New Roman" w:eastAsia="宋体"/>
          <w:b w:val="0"/>
          <w:sz w:val="24"/>
        </w:rPr>
        <w:t xml:space="preserve">- </w:t>
      </w:r>
      <w:r>
        <w:rPr>
          <w:rFonts w:ascii="Times New Roman" w:hAnsi="Times New Roman" w:eastAsia="宋体"/>
          <w:b/>
          <w:sz w:val="24"/>
        </w:rPr>
        <w:t>呼吸谐波与心率的频段重叠问题</w:t>
      </w:r>
      <w:r>
        <w:rPr>
          <w:rFonts w:ascii="Times New Roman" w:hAnsi="Times New Roman" w:eastAsia="宋体"/>
          <w:b w:val="0"/>
          <w:sz w:val="24"/>
        </w:rPr>
        <w:t xml:space="preserve">：由于呼吸基频 f_r≈0.2–0.5 Hz 的二次、三次谐波（2f_r≈0.4–1.0 Hz、3f_r≈0.6–1.5 Hz）与心跳频带 0.8–2.0 Hz </w:t>
      </w:r>
      <w:r>
        <w:rPr>
          <w:rFonts w:ascii="Times New Roman" w:hAnsi="Times New Roman" w:eastAsia="宋体"/>
          <w:b/>
          <w:sz w:val="24"/>
        </w:rPr>
        <w:t>存在重叠</w:t>
      </w:r>
      <w:r>
        <w:rPr>
          <w:rFonts w:ascii="Times New Roman" w:hAnsi="Times New Roman" w:eastAsia="宋体"/>
          <w:b w:val="0"/>
          <w:sz w:val="24"/>
        </w:rPr>
        <w:t xml:space="preserve">，单纯线性带通滤波无法分离。拟采用以下两种方法之一或组合：(a) </w:t>
      </w:r>
      <w:r>
        <w:rPr>
          <w:rFonts w:ascii="Times New Roman" w:hAnsi="Times New Roman" w:eastAsia="宋体"/>
          <w:b/>
          <w:sz w:val="24"/>
        </w:rPr>
        <w:t>相位域逐分量剥离</w:t>
      </w:r>
      <w:r>
        <w:rPr>
          <w:rFonts w:ascii="Times New Roman" w:hAnsi="Times New Roman" w:eastAsia="宋体"/>
          <w:b w:val="0"/>
          <w:sz w:val="24"/>
        </w:rPr>
        <w:t xml:space="preserve">——先由长窗谱估计出呼吸基频及谐波幅度，重构呼吸相位分量并从观测相位中减去，再对残差做心跳频带谱估计；(b) </w:t>
      </w:r>
      <w:r>
        <w:rPr>
          <w:rFonts w:ascii="Times New Roman" w:hAnsi="Times New Roman" w:eastAsia="宋体"/>
          <w:b/>
          <w:sz w:val="24"/>
        </w:rPr>
        <w:t>倒谱分析</w:t>
      </w:r>
      <w:r>
        <w:rPr>
          <w:rFonts w:ascii="Times New Roman" w:hAnsi="Times New Roman" w:eastAsia="宋体"/>
          <w:b w:val="0"/>
          <w:sz w:val="24"/>
        </w:rPr>
        <w:t>——利用呼吸谐波构成周期家族、在倒谱域呈现为等间隔峰簇的特性，识别并剔除呼吸谐波分量。方法选择依前期预实验的谱结构确定。</w:t>
      </w:r>
    </w:p>
    <w:p>
      <w:pPr>
        <w:ind w:firstLine="480"/>
      </w:pPr>
      <w:r>
        <w:rPr>
          <w:rFonts w:ascii="Times New Roman" w:hAnsi="Times New Roman" w:eastAsia="宋体"/>
          <w:b w:val="0"/>
          <w:sz w:val="24"/>
        </w:rPr>
        <w:t xml:space="preserve">- </w:t>
      </w:r>
      <w:r>
        <w:rPr>
          <w:rFonts w:ascii="Times New Roman" w:hAnsi="Times New Roman" w:eastAsia="宋体"/>
          <w:b/>
          <w:sz w:val="24"/>
        </w:rPr>
        <w:t>分层目标（递进设计）</w:t>
      </w:r>
      <w:r>
        <w:rPr>
          <w:rFonts w:ascii="Times New Roman" w:hAnsi="Times New Roman" w:eastAsia="宋体"/>
          <w:b w:val="0"/>
          <w:sz w:val="24"/>
        </w:rPr>
        <w:t>：目标 A——呼吸与心跳双参数提取与连续监测；目标 B——静止人体呼吸率可靠检测；目标 C——感知链路微动检测能力基线评估（相位噪声底、最小可检测体动幅度、所需 SNR）。三级目标各自均可支撑独立章节，按实验条件逐级推进。</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：呼吸/心跳提取的实测结果与检测性能评估。</w:t>
      </w:r>
    </w:p>
    <w:p>
      <w:r>
        <w:rPr>
          <w:rFonts w:ascii="Times New Roman" w:hAnsi="Times New Roman" w:eastAsia="黑体"/>
          <w:b/>
          <w:sz w:val="25"/>
        </w:rPr>
        <w:t>4.3 拟解决的关键问题</w:t>
      </w:r>
    </w:p>
    <w:p>
      <w:pPr>
        <w:ind w:firstLine="480"/>
      </w:pPr>
      <w:r>
        <w:rPr>
          <w:rFonts w:ascii="Times New Roman" w:hAnsi="Times New Roman" w:eastAsia="宋体"/>
          <w:b w:val="0"/>
          <w:sz w:val="24"/>
        </w:rPr>
        <w:t xml:space="preserve">1. </w:t>
      </w:r>
      <w:r>
        <w:rPr>
          <w:rFonts w:ascii="Times New Roman" w:hAnsi="Times New Roman" w:eastAsia="宋体"/>
          <w:b/>
          <w:sz w:val="24"/>
        </w:rPr>
        <w:t>残留误码统计与跨层保护的匹配问题</w:t>
      </w:r>
      <w:r>
        <w:rPr>
          <w:rFonts w:ascii="Times New Roman" w:hAnsi="Times New Roman" w:eastAsia="宋体"/>
          <w:b w:val="0"/>
          <w:sz w:val="24"/>
        </w:rPr>
        <w:t>：如何用实测残差错统计（而非最坏情况模型）确定跨层保护的最小充分配置，并给出可迁移的设计准则。</w:t>
      </w:r>
    </w:p>
    <w:p>
      <w:pPr>
        <w:ind w:firstLine="480"/>
      </w:pPr>
      <w:r>
        <w:rPr>
          <w:rFonts w:ascii="Times New Roman" w:hAnsi="Times New Roman" w:eastAsia="宋体"/>
          <w:b w:val="0"/>
          <w:sz w:val="24"/>
        </w:rPr>
        <w:t xml:space="preserve">2. </w:t>
      </w:r>
      <w:r>
        <w:rPr>
          <w:rFonts w:ascii="Times New Roman" w:hAnsi="Times New Roman" w:eastAsia="宋体"/>
          <w:b/>
          <w:sz w:val="24"/>
        </w:rPr>
        <w:t>ISAC 双功能并发的资源协同问题</w:t>
      </w:r>
      <w:r>
        <w:rPr>
          <w:rFonts w:ascii="Times New Roman" w:hAnsi="Times New Roman" w:eastAsia="宋体"/>
          <w:b w:val="0"/>
          <w:sz w:val="24"/>
        </w:rPr>
        <w:t>：视频业务对吞吐/延迟的要求与感知对相参处理时长/导频密度的要求共享同一波形，参数调整存在耦合，需研究两功能的兼容域与协同设计方法。</w:t>
      </w:r>
    </w:p>
    <w:p>
      <w:pPr>
        <w:ind w:firstLine="480"/>
      </w:pPr>
      <w:r>
        <w:rPr>
          <w:rFonts w:ascii="Times New Roman" w:hAnsi="Times New Roman" w:eastAsia="宋体"/>
          <w:b w:val="0"/>
          <w:sz w:val="24"/>
        </w:rPr>
        <w:t xml:space="preserve">3. </w:t>
      </w:r>
      <w:r>
        <w:rPr>
          <w:rFonts w:ascii="Times New Roman" w:hAnsi="Times New Roman" w:eastAsia="宋体"/>
          <w:b/>
          <w:sz w:val="24"/>
        </w:rPr>
        <w:t>通信链路相位噪声背景下的微弱微动提取问题</w:t>
      </w:r>
      <w:r>
        <w:rPr>
          <w:rFonts w:ascii="Times New Roman" w:hAnsi="Times New Roman" w:eastAsia="宋体"/>
          <w:b w:val="0"/>
          <w:sz w:val="24"/>
        </w:rPr>
        <w:t>：商用 SDR 时钟相位噪声远高于专用雷达，需解决相位误差抑制、体动干扰分离与长时相参积累下的频率估计稳定性。</w:t>
      </w:r>
    </w:p>
    <w:p>
      <w:r>
        <w:rPr>
          <w:rFonts w:ascii="Times New Roman" w:hAnsi="Times New Roman" w:eastAsia="黑体"/>
          <w:b/>
          <w:sz w:val="28"/>
        </w:rPr>
        <w:t>五、研究方法、技术路线、试验手段、关键技术</w:t>
      </w:r>
    </w:p>
    <w:p>
      <w:r>
        <w:rPr>
          <w:rFonts w:ascii="Times New Roman" w:hAnsi="Times New Roman" w:eastAsia="黑体"/>
          <w:b/>
          <w:sz w:val="25"/>
        </w:rPr>
        <w:t>5.1 总体技术路线</w:t>
      </w:r>
    </w:p>
    <w:p>
      <w:pPr>
        <w:ind w:firstLine="480"/>
      </w:pPr>
      <w:r>
        <w:rPr>
          <w:rFonts w:ascii="Times New Roman" w:hAnsi="Times New Roman" w:eastAsia="宋体"/>
          <w:b w:val="0"/>
          <w:sz w:val="24"/>
        </w:rPr>
        <w:t>本课题采用"</w:t>
      </w:r>
      <w:r>
        <w:rPr>
          <w:rFonts w:ascii="Times New Roman" w:hAnsi="Times New Roman" w:eastAsia="宋体"/>
          <w:b/>
          <w:sz w:val="24"/>
        </w:rPr>
        <w:t>开源平台 + 受控实验 + 模型指导</w:t>
      </w:r>
      <w:r>
        <w:rPr>
          <w:rFonts w:ascii="Times New Roman" w:hAnsi="Times New Roman" w:eastAsia="宋体"/>
          <w:b w:val="0"/>
          <w:sz w:val="24"/>
        </w:rPr>
        <w:t>"的研究路线：以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_route.png"/>
                    <pic:cNvPicPr/>
                  </pic:nvPicPr>
                  <pic:blipFill>
                    <a:blip r:embed="rId11"/>
                    <a:stretch>
                      <a:fillRect/>
                    </a:stretch>
                  </pic:blipFill>
                  <pic:spPr>
                    <a:xfrm>
                      <a:off x="0" y="0"/>
                      <a:ext cx="5669280" cy="2834640"/>
                    </a:xfrm>
                    <a:prstGeom prst="rect"/>
                  </pic:spPr>
                </pic:pic>
              </a:graphicData>
            </a:graphic>
          </wp:inline>
        </w:drawing>
      </w:r>
    </w:p>
    <w:p>
      <w:pPr>
        <w:ind w:firstLine="480"/>
      </w:pPr>
      <w:r>
        <w:rPr>
          <w:rFonts w:ascii="Times New Roman" w:hAnsi="Times New Roman" w:eastAsia="宋体"/>
          <w:b/>
          <w:sz w:val="24"/>
        </w:rPr>
        <w:t>图 3　技术路线总图：统一平台支撑三个研究内容的递进关系</w:t>
      </w:r>
    </w:p>
    <w:p>
      <w:r>
        <w:rPr>
          <w:rFonts w:ascii="Times New Roman" w:hAnsi="Times New Roman" w:eastAsia="黑体"/>
          <w:b/>
          <w:sz w:val="25"/>
        </w:rPr>
        <w:t>5.2 试验手段</w:t>
      </w:r>
    </w:p>
    <w:p>
      <w:pPr>
        <w:ind w:firstLine="480"/>
      </w:pPr>
      <w:r>
        <w:rPr>
          <w:rFonts w:ascii="Times New Roman" w:hAnsi="Times New Roman" w:eastAsia="宋体"/>
          <w:b w:val="0"/>
          <w:sz w:val="24"/>
        </w:rPr>
        <w:t xml:space="preserve">- </w:t>
      </w:r>
      <w:r>
        <w:rPr>
          <w:rFonts w:ascii="Times New Roman" w:hAnsi="Times New Roman" w:eastAsia="宋体"/>
          <w:b/>
          <w:sz w:val="24"/>
        </w:rPr>
        <w:t>硬件平台</w:t>
      </w:r>
      <w:r>
        <w:rPr>
          <w:rFonts w:ascii="Times New Roman" w:hAnsi="Times New Roman" w:eastAsia="宋体"/>
          <w:b w:val="0"/>
          <w:sz w:val="24"/>
        </w:rPr>
        <w:t>：USRP N320（BS，SFP+ 10GigE）+ USRP B210（UE，USB 3.0）+ 对数周期天线；室内视距链路（约 5 m）。载波中心频率 3.1 GHz。</w:t>
      </w:r>
    </w:p>
    <w:p>
      <w:pPr>
        <w:ind w:firstLine="480"/>
      </w:pPr>
      <w:r>
        <w:rPr>
          <w:rFonts w:ascii="Times New Roman" w:hAnsi="Times New Roman" w:eastAsia="宋体"/>
          <w:b w:val="0"/>
          <w:sz w:val="24"/>
        </w:rPr>
        <w:t xml:space="preserve">- </w:t>
      </w:r>
      <w:r>
        <w:rPr>
          <w:rFonts w:ascii="Times New Roman" w:hAnsi="Times New Roman" w:eastAsia="宋体"/>
          <w:b/>
          <w:sz w:val="24"/>
        </w:rPr>
        <w:t>波形与协议</w:t>
      </w:r>
      <w:r>
        <w:rPr>
          <w:rFonts w:ascii="Times New Roman" w:hAnsi="Times New Roman" w:eastAsia="宋体"/>
          <w:b w:val="0"/>
          <w:sz w:val="24"/>
        </w:rPr>
        <w:t>：OFDM 1024-FFT / CP 128 / 100 符号 / 50 MHz 采样率（帧长 2.304 ms，≈434 帧/s）；RS(255,K) + LDPC(1008,504) 级联编码；QPSK/16QAM；视频业务 640×480@20fps H.264（裸 Annex B，GStreamer 管道）。</w:t>
      </w:r>
    </w:p>
    <w:p>
      <w:pPr>
        <w:ind w:firstLine="480"/>
      </w:pPr>
      <w:r>
        <w:rPr>
          <w:rFonts w:ascii="Times New Roman" w:hAnsi="Times New Roman" w:eastAsia="宋体"/>
          <w:b w:val="0"/>
          <w:sz w:val="24"/>
        </w:rPr>
        <w:t xml:space="preserve">- </w:t>
      </w:r>
      <w:r>
        <w:rPr>
          <w:rFonts w:ascii="Times New Roman" w:hAnsi="Times New Roman" w:eastAsia="宋体"/>
          <w:b/>
          <w:sz w:val="24"/>
        </w:rPr>
        <w:t>测量方法</w:t>
      </w:r>
      <w:r>
        <w:rPr>
          <w:rFonts w:ascii="Times New Roman" w:hAnsi="Times New Roman" w:eastAsia="宋体"/>
          <w:b w:val="0"/>
          <w:sz w:val="24"/>
        </w:rPr>
        <w:t>：固定模式载荷速率扫描（字节级 BER）、秒表法端到端延迟（≈33 ms 分辨率）、fail_rate 稳态统计、语义保持扰动鲁棒性测试；微动感知采用相位时序提取 + 长窗谱估计，以呼吸/心跳参考频段能量与谐波结构为判据。</w:t>
      </w:r>
    </w:p>
    <w:p>
      <w:pPr>
        <w:ind w:firstLine="480"/>
      </w:pPr>
      <w:r>
        <w:rPr>
          <w:rFonts w:ascii="Times New Roman" w:hAnsi="Times New Roman" w:eastAsia="宋体"/>
          <w:b w:val="0"/>
          <w:sz w:val="24"/>
        </w:rPr>
        <w:t xml:space="preserve">- </w:t>
      </w:r>
      <w:r>
        <w:rPr>
          <w:rFonts w:ascii="Times New Roman" w:hAnsi="Times New Roman" w:eastAsia="宋体"/>
          <w:b/>
          <w:sz w:val="24"/>
        </w:rPr>
        <w:t>自干扰与链路预算</w:t>
      </w:r>
      <w:r>
        <w:rPr>
          <w:rFonts w:ascii="Times New Roman" w:hAnsi="Times New Roman" w:eastAsia="宋体"/>
          <w:b w:val="0"/>
          <w:sz w:val="24"/>
        </w:rPr>
        <w:t>：单站自发自收模式下，发射端约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pPr>
        <w:ind w:firstLine="480"/>
      </w:pPr>
      <w:r>
        <w:rPr>
          <w:rFonts w:ascii="Times New Roman" w:hAnsi="Times New Roman" w:eastAsia="宋体"/>
          <w:b w:val="0"/>
          <w:sz w:val="24"/>
        </w:rPr>
        <w:t xml:space="preserve">- </w:t>
      </w:r>
      <w:r>
        <w:rPr>
          <w:rFonts w:ascii="Times New Roman" w:hAnsi="Times New Roman" w:eastAsia="宋体"/>
          <w:b/>
          <w:sz w:val="24"/>
        </w:rPr>
        <w:t>数据处理</w:t>
      </w:r>
      <w:r>
        <w:rPr>
          <w:rFonts w:ascii="Times New Roman" w:hAnsi="Times New Roman" w:eastAsia="宋体"/>
          <w:b w:val="0"/>
          <w:sz w:val="24"/>
        </w:rPr>
        <w:t>：Python/numpy 离线分析；全部实验脚本与配置纳入版本管理，保证可复现。</w:t>
      </w:r>
    </w:p>
    <w:p>
      <w:r>
        <w:rPr>
          <w:rFonts w:ascii="Times New Roman" w:hAnsi="Times New Roman" w:eastAsia="黑体"/>
          <w:b/>
          <w:sz w:val="25"/>
        </w:rPr>
        <w:t>5.3 关键技术</w:t>
      </w:r>
    </w:p>
    <w:p>
      <w:pPr>
        <w:ind w:firstLine="480"/>
      </w:pPr>
      <w:r>
        <w:rPr>
          <w:rFonts w:ascii="Times New Roman" w:hAnsi="Times New Roman" w:eastAsia="宋体"/>
          <w:b w:val="0"/>
          <w:sz w:val="24"/>
        </w:rPr>
        <w:t xml:space="preserve">1. </w:t>
      </w:r>
      <w:r>
        <w:rPr>
          <w:rFonts w:ascii="Times New Roman" w:hAnsi="Times New Roman" w:eastAsia="宋体"/>
          <w:b/>
          <w:sz w:val="24"/>
        </w:rPr>
        <w:t>RS 外码参数的可重构化</w:t>
      </w:r>
      <w:r>
        <w:rPr>
          <w:rFonts w:ascii="Times New Roman" w:hAnsi="Times New Roman" w:eastAsia="宋体"/>
          <w:b w:val="0"/>
          <w:sz w:val="24"/>
        </w:rPr>
        <w:t>：将当前以编译期常量固定的 K 与生成多项式改造为运行时可配置（运行期选择 K、动态生成 g(x)），为码率自适应提供使能条件（研究点 2 关键）。</w:t>
      </w:r>
    </w:p>
    <w:p>
      <w:pPr>
        <w:ind w:firstLine="480"/>
      </w:pPr>
      <w:r>
        <w:rPr>
          <w:rFonts w:ascii="Times New Roman" w:hAnsi="Times New Roman" w:eastAsia="宋体"/>
          <w:b w:val="0"/>
          <w:sz w:val="24"/>
        </w:rPr>
        <w:t xml:space="preserve">2. </w:t>
      </w:r>
      <w:r>
        <w:rPr>
          <w:rFonts w:ascii="Times New Roman" w:hAnsi="Times New Roman" w:eastAsia="宋体"/>
          <w:b/>
          <w:sz w:val="24"/>
        </w:rPr>
        <w:t>跨层参数联动控制</w:t>
      </w:r>
      <w:r>
        <w:rPr>
          <w:rFonts w:ascii="Times New Roman" w:hAnsi="Times New Roman" w:eastAsia="宋体"/>
          <w:b w:val="0"/>
          <w:sz w:val="24"/>
        </w:rPr>
        <w:t>：运行时层（YAML 热配置 + 控制通道）实现外码参数/调制阶数的在线切换，切换过程的帧同步保持（研究点 2 关键）。</w:t>
      </w:r>
    </w:p>
    <w:p>
      <w:pPr>
        <w:ind w:firstLine="480"/>
      </w:pPr>
      <w:r>
        <w:rPr>
          <w:rFonts w:ascii="Times New Roman" w:hAnsi="Times New Roman" w:eastAsia="宋体"/>
          <w:b w:val="0"/>
          <w:sz w:val="24"/>
        </w:rPr>
        <w:t xml:space="preserve">3. </w:t>
      </w:r>
      <w:r>
        <w:rPr>
          <w:rFonts w:ascii="Times New Roman" w:hAnsi="Times New Roman" w:eastAsia="宋体"/>
          <w:b/>
          <w:sz w:val="24"/>
        </w:rPr>
        <w:t>导频相位的高精度复用</w:t>
      </w:r>
      <w:r>
        <w:rPr>
          <w:rFonts w:ascii="Times New Roman" w:hAnsi="Times New Roman" w:eastAsia="宋体"/>
          <w:b w:val="0"/>
          <w:sz w:val="24"/>
        </w:rPr>
        <w:t>：在通信解调链路不改动硬件的前提下，把导频相位跟踪输出改造为微动测量的相参相位源（研究点 3 关键）。</w:t>
      </w:r>
    </w:p>
    <w:p>
      <w:pPr>
        <w:ind w:firstLine="480"/>
      </w:pPr>
      <w:r>
        <w:rPr>
          <w:rFonts w:ascii="Times New Roman" w:hAnsi="Times New Roman" w:eastAsia="宋体"/>
          <w:b w:val="0"/>
          <w:sz w:val="24"/>
        </w:rPr>
        <w:t xml:space="preserve">4. </w:t>
      </w:r>
      <w:r>
        <w:rPr>
          <w:rFonts w:ascii="Times New Roman" w:hAnsi="Times New Roman" w:eastAsia="宋体"/>
          <w:b/>
          <w:sz w:val="24"/>
        </w:rPr>
        <w:t>长时相参积累与相位噪声抑制</w:t>
      </w:r>
      <w:r>
        <w:rPr>
          <w:rFonts w:ascii="Times New Roman" w:hAnsi="Times New Roman" w:eastAsia="宋体"/>
          <w:b w:val="0"/>
          <w:sz w:val="24"/>
        </w:rPr>
        <w:t>：延长相参处理窗后载波相位漂移成为主要误差源，拟采用相位差分/高通-带通级联滤波与参考距离门相位共模消除（研究点 3 关键）。</w:t>
      </w:r>
    </w:p>
    <w:p>
      <w:r>
        <w:rPr>
          <w:rFonts w:ascii="Times New Roman" w:hAnsi="Times New Roman" w:eastAsia="黑体"/>
          <w:b/>
          <w:sz w:val="28"/>
        </w:rPr>
        <w:t>六、年度研究计划、预期成果及现有研究工作基础</w:t>
      </w:r>
    </w:p>
    <w:p>
      <w:r>
        <w:rPr>
          <w:rFonts w:ascii="Times New Roman" w:hAnsi="Times New Roman" w:eastAsia="黑体"/>
          <w:b/>
          <w:sz w:val="25"/>
        </w:rPr>
        <w:t>6.1 现有研究工作基础</w:t>
      </w:r>
    </w:p>
    <w:p>
      <w:pPr>
        <w:ind w:firstLine="480"/>
      </w:pPr>
      <w:r>
        <w:rPr>
          <w:rFonts w:ascii="Times New Roman" w:hAnsi="Times New Roman" w:eastAsia="宋体"/>
          <w:b w:val="0"/>
          <w:sz w:val="24"/>
        </w:rPr>
        <w:t xml:space="preserve">- </w:t>
      </w:r>
      <w:r>
        <w:rPr>
          <w:rFonts w:ascii="Times New Roman" w:hAnsi="Times New Roman" w:eastAsia="宋体"/>
          <w:b/>
          <w:sz w:val="24"/>
        </w:rPr>
        <w:t>平台与链路</w:t>
      </w:r>
      <w:r>
        <w:rPr>
          <w:rFonts w:ascii="Times New Roman" w:hAnsi="Times New Roman" w:eastAsia="宋体"/>
          <w:b w:val="0"/>
          <w:sz w:val="24"/>
        </w:rPr>
        <w:t>：已完成 OpenISAC 平台部署、N320+B210 空口链路联调、视频业务与感知业务并发运行，实验基础设施全部就绪。</w:t>
      </w:r>
    </w:p>
    <w:p>
      <w:pPr>
        <w:ind w:firstLine="480"/>
      </w:pPr>
      <w:r>
        <w:rPr>
          <w:rFonts w:ascii="Times New Roman" w:hAnsi="Times New Roman" w:eastAsia="宋体"/>
          <w:b w:val="0"/>
          <w:sz w:val="24"/>
        </w:rPr>
        <w:t xml:space="preserve">- </w:t>
      </w:r>
      <w:r>
        <w:rPr>
          <w:rFonts w:ascii="Times New Roman" w:hAnsi="Times New Roman" w:eastAsia="宋体"/>
          <w:b/>
          <w:sz w:val="24"/>
        </w:rPr>
        <w:t>研究点 1 实验数据（已闭环）</w:t>
      </w:r>
      <w:r>
        <w:rPr>
          <w:rFonts w:ascii="Times New Roman" w:hAnsi="Times New Roman" w:eastAsia="宋体"/>
          <w:b w:val="0"/>
          <w:sz w:val="24"/>
        </w:rPr>
        <w:t>：RS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pPr>
        <w:jc w:val="center"/>
      </w:pPr>
      <w:r>
        <w:drawing>
          <wp:inline xmlns:a="http://schemas.openxmlformats.org/drawingml/2006/main" xmlns:pic="http://schemas.openxmlformats.org/drawingml/2006/picture">
            <wp:extent cx="5669280" cy="2110462"/>
            <wp:docPr id="4" name="Picture 4"/>
            <wp:cNvGraphicFramePr>
              <a:graphicFrameLocks noChangeAspect="1"/>
            </wp:cNvGraphicFramePr>
            <a:graphic>
              <a:graphicData uri="http://schemas.openxmlformats.org/drawingml/2006/picture">
                <pic:pic>
                  <pic:nvPicPr>
                    <pic:cNvPr id="0" name="fig2_latency.png"/>
                    <pic:cNvPicPr/>
                  </pic:nvPicPr>
                  <pic:blipFill>
                    <a:blip r:embed="rId12"/>
                    <a:stretch>
                      <a:fillRect/>
                    </a:stretch>
                  </pic:blipFill>
                  <pic:spPr>
                    <a:xfrm>
                      <a:off x="0" y="0"/>
                      <a:ext cx="5669280" cy="2110462"/>
                    </a:xfrm>
                    <a:prstGeom prst="rect"/>
                  </pic:spPr>
                </pic:pic>
              </a:graphicData>
            </a:graphic>
          </wp:inline>
        </w:drawing>
      </w:r>
    </w:p>
    <w:p>
      <w:pPr>
        <w:ind w:firstLine="480"/>
      </w:pPr>
      <w:r>
        <w:rPr>
          <w:rFonts w:ascii="Times New Roman" w:hAnsi="Times New Roman" w:eastAsia="宋体"/>
          <w:b/>
          <w:sz w:val="24"/>
        </w:rPr>
        <w:t>图 4　前期完成的端到端时延实测：(a) 五分钟秒表轨迹（5 分钟内无累积趋势）；(b) 时延分解（视频解码环节占主导）</w:t>
      </w:r>
    </w:p>
    <w:p>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的英文期刊论文已完成撰写（《Least-Sufficient Protection: A Cross-Layer Experimental Study of Real-Time Video Transmission over an Open OFDM-ISAC Platform》，拟投 IEEE 系列期刊）。</w:t>
      </w:r>
    </w:p>
    <w:p>
      <w:r>
        <w:rPr>
          <w:rFonts w:ascii="Times New Roman" w:hAnsi="Times New Roman" w:eastAsia="黑体"/>
          <w:b/>
          <w:sz w:val="25"/>
        </w:rPr>
        <w:t>6.2 年度研究计划</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21"/>
              </w:rPr>
              <w:t>时间</w:t>
            </w:r>
          </w:p>
        </w:tc>
        <w:tc>
          <w:tcPr>
            <w:tcW w:type="dxa" w:w="4320"/>
          </w:tcPr>
          <w:p>
            <w:r>
              <w:rPr>
                <w:rFonts w:ascii="Times New Roman" w:hAnsi="Times New Roman" w:eastAsia="宋体"/>
                <w:b/>
                <w:sz w:val="21"/>
              </w:rPr>
              <w:t>工作内容</w:t>
            </w:r>
          </w:p>
        </w:tc>
      </w:tr>
      <w:tr>
        <w:tc>
          <w:tcPr>
            <w:tcW w:type="dxa" w:w="4320"/>
          </w:tcPr>
          <w:p>
            <w:r>
              <w:rPr>
                <w:rFonts w:ascii="Times New Roman" w:hAnsi="Times New Roman" w:eastAsia="宋体"/>
                <w:b w:val="0"/>
                <w:sz w:val="21"/>
              </w:rPr>
              <w:t>2026.10–2026.12</w:t>
            </w:r>
          </w:p>
        </w:tc>
        <w:tc>
          <w:tcPr>
            <w:tcW w:type="dxa" w:w="4320"/>
          </w:tcPr>
          <w:p>
            <w:r>
              <w:rPr>
                <w:rFonts w:ascii="Times New Roman" w:hAnsi="Times New Roman" w:eastAsia="宋体"/>
                <w:b w:val="0"/>
                <w:sz w:val="21"/>
              </w:rPr>
              <w:t>研究点 1 收尾：补充 γ 实验的量化 BER 工作点记录；复核实验数据样本量与关键数值；完成小论文投稿；完成微动感知相位谱可行性摸底（研究点 3 预实验）</w:t>
            </w:r>
          </w:p>
        </w:tc>
      </w:tr>
      <w:tr>
        <w:tc>
          <w:tcPr>
            <w:tcW w:type="dxa" w:w="4320"/>
          </w:tcPr>
          <w:p>
            <w:r>
              <w:rPr>
                <w:rFonts w:ascii="Times New Roman" w:hAnsi="Times New Roman" w:eastAsia="宋体"/>
                <w:b w:val="0"/>
                <w:sz w:val="21"/>
              </w:rPr>
              <w:t>2027.01–2027.06</w:t>
            </w:r>
          </w:p>
        </w:tc>
        <w:tc>
          <w:tcPr>
            <w:tcW w:type="dxa" w:w="4320"/>
          </w:tcPr>
          <w:p>
            <w:r>
              <w:rPr>
                <w:rFonts w:ascii="Times New Roman" w:hAnsi="Times New Roman" w:eastAsia="宋体"/>
                <w:b w:val="0"/>
                <w:sz w:val="21"/>
              </w:rPr>
              <w:t>研究点 2：RS 外码可重构化改造（使能性工作）、SNR/残差统计量构造、自适应切换映射模型、平台运行时实现与实测对比；中期检查</w:t>
            </w:r>
          </w:p>
        </w:tc>
      </w:tr>
      <w:tr>
        <w:tc>
          <w:tcPr>
            <w:tcW w:type="dxa" w:w="4320"/>
          </w:tcPr>
          <w:p>
            <w:r>
              <w:rPr>
                <w:rFonts w:ascii="Times New Roman" w:hAnsi="Times New Roman" w:eastAsia="宋体"/>
                <w:b w:val="0"/>
                <w:sz w:val="21"/>
              </w:rPr>
              <w:t>2027.07–2027.12</w:t>
            </w:r>
          </w:p>
        </w:tc>
        <w:tc>
          <w:tcPr>
            <w:tcW w:type="dxa" w:w="4320"/>
          </w:tcPr>
          <w:p>
            <w:r>
              <w:rPr>
                <w:rFonts w:ascii="Times New Roman" w:hAnsi="Times New Roman" w:eastAsia="宋体"/>
                <w:b w:val="0"/>
                <w:sz w:val="21"/>
              </w:rPr>
              <w:t>研究点 3：微动检测能力基线（目标 C）→ 呼吸率检测（目标 B）→ 争取双参数提取（目标 A）；数据整理</w:t>
            </w:r>
          </w:p>
        </w:tc>
      </w:tr>
      <w:tr>
        <w:tc>
          <w:tcPr>
            <w:tcW w:type="dxa" w:w="4320"/>
          </w:tcPr>
          <w:p>
            <w:r>
              <w:rPr>
                <w:rFonts w:ascii="Times New Roman" w:hAnsi="Times New Roman" w:eastAsia="宋体"/>
                <w:b w:val="0"/>
                <w:sz w:val="21"/>
              </w:rPr>
              <w:t>2028.01–2028.03</w:t>
            </w:r>
          </w:p>
        </w:tc>
        <w:tc>
          <w:tcPr>
            <w:tcW w:type="dxa" w:w="4320"/>
          </w:tcPr>
          <w:p>
            <w:r>
              <w:rPr>
                <w:rFonts w:ascii="Times New Roman" w:hAnsi="Times New Roman" w:eastAsia="宋体"/>
                <w:b w:val="0"/>
                <w:sz w:val="21"/>
              </w:rPr>
              <w:t>三研究点结果整合，学位论文撰写与修改，预答辩</w:t>
            </w:r>
          </w:p>
        </w:tc>
      </w:tr>
      <w:tr>
        <w:tc>
          <w:tcPr>
            <w:tcW w:type="dxa" w:w="4320"/>
          </w:tcPr>
          <w:p>
            <w:r>
              <w:rPr>
                <w:rFonts w:ascii="Times New Roman" w:hAnsi="Times New Roman" w:eastAsia="宋体"/>
                <w:b w:val="0"/>
                <w:sz w:val="21"/>
              </w:rPr>
              <w:t>2028.04–2028.06</w:t>
            </w:r>
          </w:p>
        </w:tc>
        <w:tc>
          <w:tcPr>
            <w:tcW w:type="dxa" w:w="4320"/>
          </w:tcPr>
          <w:p>
            <w:r>
              <w:rPr>
                <w:rFonts w:ascii="Times New Roman" w:hAnsi="Times New Roman" w:eastAsia="宋体"/>
                <w:b w:val="0"/>
                <w:sz w:val="21"/>
              </w:rPr>
              <w:t>学位论文送审与答辩</w:t>
            </w:r>
          </w:p>
        </w:tc>
      </w:tr>
    </w:tbl>
    <w:p>
      <w:pPr>
        <w:ind w:firstLine="480"/>
      </w:pPr>
      <w:r>
        <w:rPr>
          <w:rFonts w:ascii="Times New Roman" w:hAnsi="Times New Roman" w:eastAsia="宋体"/>
          <w:b w:val="0"/>
          <w:sz w:val="24"/>
        </w:rPr>
        <w:t>（具体节点以学院培养日程与导师意见为准。）</w:t>
      </w:r>
    </w:p>
    <w:p>
      <w:r>
        <w:rPr>
          <w:rFonts w:ascii="Times New Roman" w:hAnsi="Times New Roman" w:eastAsia="黑体"/>
          <w:b/>
          <w:sz w:val="25"/>
        </w:rPr>
        <w:t>6.3 预期成果</w:t>
      </w:r>
    </w:p>
    <w:p>
      <w:pPr>
        <w:ind w:firstLine="480"/>
      </w:pPr>
      <w:r>
        <w:rPr>
          <w:rFonts w:ascii="Times New Roman" w:hAnsi="Times New Roman" w:eastAsia="宋体"/>
          <w:b w:val="0"/>
          <w:sz w:val="24"/>
        </w:rPr>
        <w:t>1. 硕士学位论文一部；</w:t>
      </w:r>
    </w:p>
    <w:p>
      <w:pPr>
        <w:ind w:firstLine="480"/>
      </w:pPr>
      <w:r>
        <w:rPr>
          <w:rFonts w:ascii="Times New Roman" w:hAnsi="Times New Roman" w:eastAsia="宋体"/>
          <w:b w:val="0"/>
          <w:sz w:val="24"/>
        </w:rPr>
        <w:t>2. 英文期刊/会议论文 1–2 篇（研究点 1 论文已完成撰写；研究点 2 或 3 视结果产出第二篇）；</w:t>
      </w:r>
    </w:p>
    <w:p>
      <w:pPr>
        <w:ind w:firstLine="480"/>
      </w:pPr>
      <w:r>
        <w:rPr>
          <w:rFonts w:ascii="Times New Roman" w:hAnsi="Times New Roman" w:eastAsia="宋体"/>
          <w:b w:val="0"/>
          <w:sz w:val="24"/>
        </w:rPr>
        <w:t>3. 一套可复现的开源 ISAC 跨层实验方法与测量数据集（实验脚本、配置与分析工具）；</w:t>
      </w:r>
    </w:p>
    <w:p>
      <w:pPr>
        <w:ind w:firstLine="480"/>
      </w:pPr>
      <w:r>
        <w:rPr>
          <w:rFonts w:ascii="Times New Roman" w:hAnsi="Times New Roman" w:eastAsia="宋体"/>
          <w:b w:val="0"/>
          <w:sz w:val="24"/>
        </w:rPr>
        <w:t xml:space="preserve">4. </w:t>
      </w:r>
      <w:r>
        <w:rPr>
          <w:rFonts w:ascii="Times New Roman" w:hAnsi="Times New Roman" w:eastAsia="宋体"/>
          <w:b/>
          <w:sz w:val="24"/>
        </w:rPr>
        <w:t>量化技术指标（拟达成）</w:t>
      </w:r>
      <w:r>
        <w:rPr>
          <w:rFonts w:ascii="Times New Roman" w:hAnsi="Times New Roman" w:eastAsia="宋体"/>
          <w:b w:val="0"/>
          <w:sz w:val="24"/>
        </w:rPr>
        <w:t>：</w:t>
      </w:r>
    </w:p>
    <w:p>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p>
    <w:p>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pPr>
        <w:ind w:firstLine="480"/>
      </w:pPr>
      <w:r>
        <w:rPr>
          <w:rFonts w:ascii="Times New Roman" w:hAnsi="Times New Roman" w:eastAsia="宋体"/>
          <w:b w:val="0"/>
          <w:sz w:val="24"/>
        </w:rPr>
        <w:t xml:space="preserve">   （上述指标为拟达成目标，最终以实验条件与实际结果为准。）</w:t>
      </w:r>
    </w:p>
    <w:p>
      <w:r>
        <w:rPr>
          <w:rFonts w:ascii="Times New Roman" w:hAnsi="Times New Roman" w:eastAsia="黑体"/>
          <w:b/>
          <w:sz w:val="28"/>
        </w:rPr>
        <w:t>七、校内外实习实践条件及时间安排</w:t>
      </w:r>
    </w:p>
    <w:p>
      <w:pPr>
        <w:ind w:firstLine="480"/>
      </w:pPr>
      <w:r>
        <w:rPr>
          <w:rFonts w:ascii="Times New Roman" w:hAnsi="Times New Roman" w:eastAsia="宋体"/>
          <w:b w:val="0"/>
          <w:sz w:val="24"/>
        </w:rPr>
        <w:t xml:space="preserve">- </w:t>
      </w:r>
      <w:r>
        <w:rPr>
          <w:rFonts w:ascii="Times New Roman" w:hAnsi="Times New Roman" w:eastAsia="宋体"/>
          <w:b/>
          <w:sz w:val="24"/>
        </w:rPr>
        <w:t>校内条件</w:t>
      </w:r>
      <w:r>
        <w:rPr>
          <w:rFonts w:ascii="Times New Roman" w:hAnsi="Times New Roman" w:eastAsia="宋体"/>
          <w:b w:val="0"/>
          <w:sz w:val="24"/>
        </w:rPr>
        <w:t>：实验室已具备上述全套 SDR 硬件、天线与射频附件，OpenISAC 平台运行稳定；可满足研究点 1–3 全部空口实验需求。</w:t>
      </w:r>
    </w:p>
    <w:p>
      <w:pPr>
        <w:ind w:firstLine="480"/>
      </w:pPr>
      <w:r>
        <w:rPr>
          <w:rFonts w:ascii="Times New Roman" w:hAnsi="Times New Roman" w:eastAsia="宋体"/>
          <w:b w:val="0"/>
          <w:sz w:val="24"/>
        </w:rPr>
        <w:t xml:space="preserve">- </w:t>
      </w:r>
      <w:r>
        <w:rPr>
          <w:rFonts w:ascii="Times New Roman" w:hAnsi="Times New Roman" w:eastAsia="宋体"/>
          <w:b/>
          <w:sz w:val="24"/>
        </w:rPr>
        <w:t>校外实践</w:t>
      </w:r>
      <w:r>
        <w:rPr>
          <w:rFonts w:ascii="Times New Roman" w:hAnsi="Times New Roman" w:eastAsia="宋体"/>
          <w:b w:val="0"/>
          <w:sz w:val="24"/>
        </w:rPr>
        <w:t>：[按培养方案与实践导师安排填写，建议与研究点 2 的工程部署场景或研究点 3 的健康监测应用场景结合，形成企业实践与课题研究的闭环]。</w:t>
      </w:r>
    </w:p>
    <w:p>
      <w:pPr>
        <w:ind w:firstLine="480"/>
      </w:pPr>
      <w:r>
        <w:rPr>
          <w:rFonts w:ascii="Times New Roman" w:hAnsi="Times New Roman" w:eastAsia="宋体"/>
          <w:b w:val="0"/>
          <w:sz w:val="24"/>
        </w:rPr>
        <w:t xml:space="preserve">- </w:t>
      </w:r>
      <w:r>
        <w:rPr>
          <w:rFonts w:ascii="Times New Roman" w:hAnsi="Times New Roman" w:eastAsia="宋体"/>
          <w:b/>
          <w:sz w:val="24"/>
        </w:rPr>
        <w:t>时间安排</w:t>
      </w:r>
      <w:r>
        <w:rPr>
          <w:rFonts w:ascii="Times New Roman" w:hAnsi="Times New Roman" w:eastAsia="宋体"/>
          <w:b w:val="0"/>
          <w:sz w:val="24"/>
        </w:rPr>
        <w:t>：校内实验贯穿全程（见 6.2）；企业/校外实践集中于 [第二学年，具体按学院要求]，实践内容拟与学位论文研究点衔接。</w:t>
      </w:r>
    </w:p>
    <w:p>
      <w:r>
        <w:rPr>
          <w:rFonts w:ascii="Times New Roman" w:hAnsi="Times New Roman" w:eastAsia="黑体"/>
          <w:b/>
          <w:sz w:val="28"/>
        </w:rPr>
        <w:t>八、论文工作过程中可能遇到的困难、问题及对策</w:t>
      </w:r>
    </w:p>
    <w:p>
      <w:pPr>
        <w:ind w:firstLine="480"/>
      </w:pPr>
      <w:r>
        <w:rPr>
          <w:rFonts w:ascii="Times New Roman" w:hAnsi="Times New Roman" w:eastAsia="宋体"/>
          <w:b w:val="0"/>
          <w:sz w:val="24"/>
        </w:rPr>
        <w:t xml:space="preserve">1. </w:t>
      </w:r>
      <w:r>
        <w:rPr>
          <w:rFonts w:ascii="Times New Roman" w:hAnsi="Times New Roman" w:eastAsia="宋体"/>
          <w:b/>
          <w:sz w:val="24"/>
        </w:rPr>
        <w:t>研究点 3 的微弱信号检测风险</w:t>
      </w:r>
      <w:r>
        <w:rPr>
          <w:rFonts w:ascii="Times New Roman" w:hAnsi="Times New Roman" w:eastAsia="宋体"/>
          <w:b w:val="0"/>
          <w:sz w:val="24"/>
        </w:rPr>
        <w:t>：商用 SDR 相位噪声较高，心跳信号（毫米级体动）提取存在不确定性。</w:t>
      </w:r>
      <w:r>
        <w:rPr>
          <w:rFonts w:ascii="Times New Roman" w:hAnsi="Times New Roman" w:eastAsia="宋体"/>
          <w:b/>
          <w:sz w:val="24"/>
        </w:rPr>
        <w:t>对策</w:t>
      </w:r>
      <w:r>
        <w:rPr>
          <w:rFonts w:ascii="Times New Roman" w:hAnsi="Times New Roman" w:eastAsia="宋体"/>
          <w:b w:val="0"/>
          <w:sz w:val="24"/>
        </w:rPr>
        <w:t>：研究内容按递进目标设计（能力基线评估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pPr>
        <w:ind w:firstLine="480"/>
      </w:pPr>
      <w:r>
        <w:rPr>
          <w:rFonts w:ascii="Times New Roman" w:hAnsi="Times New Roman" w:eastAsia="宋体"/>
          <w:b w:val="0"/>
          <w:sz w:val="24"/>
        </w:rPr>
        <w:t xml:space="preserve">2. </w:t>
      </w:r>
      <w:r>
        <w:rPr>
          <w:rFonts w:ascii="Times New Roman" w:hAnsi="Times New Roman" w:eastAsia="宋体"/>
          <w:b/>
          <w:sz w:val="24"/>
        </w:rPr>
        <w:t>自适应切换的稳定性风险</w:t>
      </w:r>
      <w:r>
        <w:rPr>
          <w:rFonts w:ascii="Times New Roman" w:hAnsi="Times New Roman" w:eastAsia="宋体"/>
          <w:b w:val="0"/>
          <w:sz w:val="24"/>
        </w:rPr>
        <w:t>：参数在线切换可能引起帧同步丢失。</w:t>
      </w:r>
      <w:r>
        <w:rPr>
          <w:rFonts w:ascii="Times New Roman" w:hAnsi="Times New Roman" w:eastAsia="宋体"/>
          <w:b/>
          <w:sz w:val="24"/>
        </w:rPr>
        <w:t>对策</w:t>
      </w:r>
      <w:r>
        <w:rPr>
          <w:rFonts w:ascii="Times New Roman" w:hAnsi="Times New Roman" w:eastAsia="宋体"/>
          <w:b w:val="0"/>
          <w:sz w:val="24"/>
        </w:rPr>
        <w:t>：切换点限制在帧边界与 GOP 边界，保留回退参数档；以受控扰动实验先验证切换可靠性再上真实信道。</w:t>
      </w:r>
    </w:p>
    <w:p>
      <w:pPr>
        <w:ind w:firstLine="480"/>
      </w:pPr>
      <w:r>
        <w:rPr>
          <w:rFonts w:ascii="Times New Roman" w:hAnsi="Times New Roman" w:eastAsia="宋体"/>
          <w:b w:val="0"/>
          <w:sz w:val="24"/>
        </w:rPr>
        <w:t xml:space="preserve">3. </w:t>
      </w:r>
      <w:r>
        <w:rPr>
          <w:rFonts w:ascii="Times New Roman" w:hAnsi="Times New Roman" w:eastAsia="宋体"/>
          <w:b/>
          <w:sz w:val="24"/>
        </w:rPr>
        <w:t>双功能并发下的资源冲突</w:t>
      </w:r>
      <w:r>
        <w:rPr>
          <w:rFonts w:ascii="Times New Roman" w:hAnsi="Times New Roman" w:eastAsia="宋体"/>
          <w:b w:val="0"/>
          <w:sz w:val="24"/>
        </w:rPr>
        <w:t>：感知加长相参窗可能挤占视频业务的实时性。</w:t>
      </w:r>
      <w:r>
        <w:rPr>
          <w:rFonts w:ascii="Times New Roman" w:hAnsi="Times New Roman" w:eastAsia="宋体"/>
          <w:b/>
          <w:sz w:val="24"/>
        </w:rPr>
        <w:t>对策</w:t>
      </w:r>
      <w:r>
        <w:rPr>
          <w:rFonts w:ascii="Times New Roman" w:hAnsi="Times New Roman" w:eastAsia="宋体"/>
          <w:b w:val="0"/>
          <w:sz w:val="24"/>
        </w:rPr>
        <w:t>：量化"感知处理窗长度—视频延迟/吞吐"的兼容域，优先在视频 GOP 间隙调度感知任务；该兼容域分析本身即预期成果之一。</w:t>
      </w:r>
    </w:p>
    <w:p>
      <w:pPr>
        <w:ind w:firstLine="480"/>
      </w:pPr>
      <w:r>
        <w:rPr>
          <w:rFonts w:ascii="Times New Roman" w:hAnsi="Times New Roman" w:eastAsia="宋体"/>
          <w:b w:val="0"/>
          <w:sz w:val="24"/>
        </w:rPr>
        <w:t xml:space="preserve">4. </w:t>
      </w:r>
      <w:r>
        <w:rPr>
          <w:rFonts w:ascii="Times New Roman" w:hAnsi="Times New Roman" w:eastAsia="宋体"/>
          <w:b/>
          <w:sz w:val="24"/>
        </w:rPr>
        <w:t>实验环境的不确定性</w:t>
      </w:r>
      <w:r>
        <w:rPr>
          <w:rFonts w:ascii="Times New Roman" w:hAnsi="Times New Roman" w:eastAsia="宋体"/>
          <w:b w:val="0"/>
          <w:sz w:val="24"/>
        </w:rPr>
        <w:t>：室内多径与人流干扰影响可复现性。</w:t>
      </w:r>
      <w:r>
        <w:rPr>
          <w:rFonts w:ascii="Times New Roman" w:hAnsi="Times New Roman" w:eastAsia="宋体"/>
          <w:b/>
          <w:sz w:val="24"/>
        </w:rPr>
        <w:t>对策</w:t>
      </w:r>
      <w:r>
        <w:rPr>
          <w:rFonts w:ascii="Times New Roman" w:hAnsi="Times New Roman" w:eastAsia="宋体"/>
          <w:b w:val="0"/>
          <w:sz w:val="24"/>
        </w:rPr>
        <w:t>：固定实验时段与场景基线，所有测量附带环境记录（距离、天线姿态、CP/速率配置）；关键结论均以多轮重复实验支撑（研究点 1 已按此执行）。</w:t>
      </w:r>
    </w:p>
    <w:p>
      <w:r>
        <w:rPr>
          <w:rFonts w:ascii="Times New Roman" w:hAnsi="Times New Roman" w:eastAsia="黑体"/>
          <w:b/>
          <w:sz w:val="28"/>
        </w:rPr>
        <w:t>九、参考文献</w:t>
      </w:r>
    </w:p>
    <w:p>
      <w:pPr>
        <w:ind w:firstLine="480"/>
      </w:pPr>
      <w:r>
        <w:rPr>
          <w:rFonts w:ascii="Times New Roman" w:hAnsi="Times New Roman" w:eastAsia="宋体"/>
          <w:b w:val="0"/>
          <w:sz w:val="24"/>
        </w:rPr>
        <w:t>[1] ITU-R, "Framework and overall objectives of the future development of IMT for 2030 and beyond," Recommendation ITU-R M.2160-0, Nov. 2023.</w:t>
      </w:r>
    </w:p>
    <w:p>
      <w:pPr>
        <w:ind w:firstLine="480"/>
      </w:pPr>
      <w:r>
        <w:rPr>
          <w:rFonts w:ascii="Times New Roman" w:hAnsi="Times New Roman" w:eastAsia="宋体"/>
          <w:b w:val="0"/>
          <w:sz w:val="24"/>
        </w:rPr>
        <w:t>[2] F. Liu, Y. Cui, C. Masouros, J. Xu, T. X. Han, Y. C. Eldar, and S. Buzzi, "Integrated sensing and communications: Toward dual-functional wireless networks for 6G and beyond," *IEEE J. Sel. Areas Commun.*, vol. 40, no. 6, 2022. arXiv:2108.07165.</w:t>
      </w:r>
    </w:p>
    <w:p>
      <w:pPr>
        <w:ind w:firstLine="480"/>
      </w:pPr>
      <w:r>
        <w:rPr>
          <w:rFonts w:ascii="Times New Roman" w:hAnsi="Times New Roman" w:eastAsia="宋体"/>
          <w:b w:val="0"/>
          <w:sz w:val="24"/>
        </w:rPr>
        <w:t>[3] Z. Wei, H. Qu, Y. Wang, et al., "Integrated sensing and communication signals toward 5G-A and 6G: A survey," 2023. arXiv:2301.03857.</w:t>
      </w:r>
    </w:p>
    <w:p>
      <w:pPr>
        <w:ind w:firstLine="480"/>
      </w:pPr>
      <w:r>
        <w:rPr>
          <w:rFonts w:ascii="Times New Roman" w:hAnsi="Times New Roman" w:eastAsia="宋体"/>
          <w:b w:val="0"/>
          <w:sz w:val="24"/>
        </w:rPr>
        <w:t>[4] A. Kaushik, R. Singh, S. Dayarathna, et al., "Toward integrated sensing and communications for 6G: A standardization perspective," 2023. arXiv:2308.01227.</w:t>
      </w:r>
    </w:p>
    <w:p>
      <w:pPr>
        <w:ind w:firstLine="480"/>
      </w:pPr>
      <w:r>
        <w:rPr>
          <w:rFonts w:ascii="Times New Roman" w:hAnsi="Times New Roman" w:eastAsia="宋体"/>
          <w:b w:val="0"/>
          <w:sz w:val="24"/>
        </w:rPr>
        <w:t>[5] C. Sturm and W. Wiesbeck, "Waveform design and signal processing aspects for fusion of wireless communications and radar sensing," *Proc. IEEE*, vol. 99, no. 7, pp. 1236–1259, 2011.</w:t>
      </w:r>
    </w:p>
    <w:p>
      <w:pPr>
        <w:ind w:firstLine="480"/>
      </w:pPr>
      <w:r>
        <w:rPr>
          <w:rFonts w:ascii="Times New Roman" w:hAnsi="Times New Roman" w:eastAsia="宋体"/>
          <w:b w:val="0"/>
          <w:sz w:val="24"/>
        </w:rPr>
        <w:t>[6] Z. Zhou, C. Zhang, X. Xu, and Y. Zeng, "OpenISAC: An open-source real-time experimentation platform for OFDM-ISAC with over-the-air synchronization," 2026. arXiv:2601.03535.</w:t>
      </w:r>
    </w:p>
    <w:p>
      <w:pPr>
        <w:ind w:firstLine="480"/>
      </w:pPr>
      <w:r>
        <w:rPr>
          <w:rFonts w:ascii="Times New Roman" w:hAnsi="Times New Roman" w:eastAsia="宋体"/>
          <w:b w:val="0"/>
          <w:sz w:val="24"/>
        </w:rPr>
        <w:t>[7] D. Brunner, L. G. de Oliveira, C. Muth, et al., "Bistatic OFDM-based ISAC with over-the-air synchronization: System concept and performance analysis," 2024. arXiv:2405.04962.</w:t>
      </w:r>
    </w:p>
    <w:p>
      <w:pPr>
        <w:ind w:firstLine="480"/>
      </w:pPr>
      <w:r>
        <w:rPr>
          <w:rFonts w:ascii="Times New Roman" w:hAnsi="Times New Roman" w:eastAsia="宋体"/>
          <w:b w:val="0"/>
          <w:sz w:val="24"/>
        </w:rPr>
        <w:t>[8] M. L. Rahman, J. A. Zhang, X. Huang, Y. J. Guo, and R. W. Heath, "Framework for a perceptive mobile network using joint communication and radar sensing," 2019. arXiv:1901.05558.</w:t>
      </w:r>
    </w:p>
    <w:p>
      <w:pPr>
        <w:ind w:firstLine="480"/>
      </w:pPr>
      <w:r>
        <w:rPr>
          <w:rFonts w:ascii="Times New Roman" w:hAnsi="Times New Roman" w:eastAsia="宋体"/>
          <w:b w:val="0"/>
          <w:sz w:val="24"/>
        </w:rPr>
        <w:t>[9] X. Li, Y. Cui, J. A. Zhang, F. Liu, D. Zhang, and L. Hanzo, "Integrated human activity sensing and communications," 2022. arXiv:2202.09522.</w:t>
      </w:r>
    </w:p>
    <w:p>
      <w:pPr>
        <w:ind w:firstLine="480"/>
      </w:pPr>
      <w:r>
        <w:rPr>
          <w:rFonts w:ascii="Times New Roman" w:hAnsi="Times New Roman" w:eastAsia="宋体"/>
          <w:b w:val="0"/>
          <w:sz w:val="24"/>
        </w:rPr>
        <w:t>[10] T. Wiegand, G. J. Sullivan, G. Bjøntegaard, and A. Luthra, "Overview of the H.264/AVC video coding standard," *IEEE Trans. Circuits Syst. Video Technol.*, vol. 13, no. 7, pp. 560–576, 2003.</w:t>
      </w:r>
    </w:p>
    <w:p>
      <w:pPr>
        <w:ind w:firstLine="480"/>
      </w:pPr>
      <w:r>
        <w:rPr>
          <w:rFonts w:ascii="Times New Roman" w:hAnsi="Times New Roman" w:eastAsia="宋体"/>
          <w:b w:val="0"/>
          <w:sz w:val="24"/>
        </w:rPr>
        <w:t>[11] ISO/IEC 13818-1, *Information technology — Generic coding of moving pictures and associated audio information: Systems* (MPEG-TS).</w:t>
      </w:r>
    </w:p>
    <w:p>
      <w:pPr>
        <w:ind w:firstLine="480"/>
      </w:pPr>
      <w:r>
        <w:rPr>
          <w:rFonts w:ascii="Times New Roman" w:hAnsi="Times New Roman" w:eastAsia="宋体"/>
          <w:b w:val="0"/>
          <w:sz w:val="24"/>
        </w:rPr>
        <w:t>[12] S. Lin and D. J. Costello, *Error Control Coding*, 2nd ed. Prentice Hall, 2004.</w:t>
      </w:r>
    </w:p>
    <w:p>
      <w:pPr>
        <w:ind w:firstLine="480"/>
      </w:pPr>
      <w:r>
        <w:rPr>
          <w:rFonts w:ascii="Times New Roman" w:hAnsi="Times New Roman" w:eastAsia="宋体"/>
          <w:b w:val="0"/>
          <w:sz w:val="24"/>
        </w:rPr>
        <w:t>[13] A. Cassagne, O. Hartmann, M. Léonardon, et al., "AFF3CT: A fast forward error correction toolbox!" *SoftwareX*, vol. 10, p. 100345, 2019.</w:t>
      </w:r>
    </w:p>
    <w:p>
      <w:pPr>
        <w:ind w:firstLine="480"/>
      </w:pPr>
      <w:r>
        <w:rPr>
          <w:rFonts w:ascii="Times New Roman" w:hAnsi="Times New Roman" w:eastAsia="宋体"/>
          <w:b w:val="0"/>
          <w:sz w:val="24"/>
        </w:rPr>
        <w:t>[14] R. Immich, E. Cerqueira, and M. Curado, "Mechanisms for resilient video transmission," 2018. arXiv:1808.06722.</w:t>
      </w:r>
    </w:p>
    <w:p>
      <w:pPr>
        <w:ind w:firstLine="480"/>
      </w:pPr>
      <w:r>
        <w:rPr>
          <w:rFonts w:ascii="Times New Roman" w:hAnsi="Times New Roman" w:eastAsia="宋体"/>
          <w:b w:val="0"/>
          <w:sz w:val="24"/>
        </w:rPr>
        <w:t>[15] X. Xu, O. Alay, E. Erkip, Y. Wang, and S. Panwar, "Two-way wireless video communication using randomized cooperation, network coding and packet level FEC," 2012. arXiv:1205.3252.</w:t>
      </w:r>
    </w:p>
    <w:p>
      <w:pPr>
        <w:ind w:firstLine="480"/>
      </w:pPr>
      <w:r>
        <w:rPr>
          <w:rFonts w:ascii="Times New Roman" w:hAnsi="Times New Roman" w:eastAsia="宋体"/>
          <w:b w:val="0"/>
          <w:sz w:val="24"/>
        </w:rPr>
        <w:t>[16] O. Alaoui-Fdili, P. Corlay, Y. Fakhri, F.-X. Coudoux, and D. Aboutajdine, "A cross-layer approach for video delivery over wireless video sensor networks," 2015. arXiv:1501.07362.</w:t>
      </w:r>
    </w:p>
    <w:p>
      <w:pPr>
        <w:ind w:firstLine="480"/>
      </w:pPr>
      <w:r>
        <w:rPr>
          <w:rFonts w:ascii="Times New Roman" w:hAnsi="Times New Roman" w:eastAsia="宋体"/>
          <w:b w:val="0"/>
          <w:sz w:val="24"/>
        </w:rPr>
        <w:t>[17] K. Nishat, O. Gnawali, and A. Abdelhadi, "Adaptive bitrate video streaming for wireless nodes: A survey," 2020. arXiv:2008.00087.</w:t>
      </w:r>
    </w:p>
    <w:p>
      <w:pPr>
        <w:ind w:firstLine="480"/>
      </w:pPr>
      <w:r>
        <w:rPr>
          <w:rFonts w:ascii="Times New Roman" w:hAnsi="Times New Roman" w:eastAsia="宋体"/>
          <w:b w:val="0"/>
          <w:sz w:val="24"/>
        </w:rPr>
        <w:t>[18] T. Tran Thai, J. Lacan, and E. Lochin, "Joint on-the-fly network coding/video quality adaptation for real-time delivery," 2013. arXiv:1304.5068.</w:t>
      </w:r>
    </w:p>
    <w:p>
      <w:pPr>
        <w:ind w:firstLine="480"/>
      </w:pPr>
      <w:r>
        <w:rPr>
          <w:rFonts w:ascii="Times New Roman" w:hAnsi="Times New Roman" w:eastAsia="宋体"/>
          <w:b w:val="0"/>
          <w:sz w:val="24"/>
        </w:rPr>
        <w:t>[19] T.-Y. Tung and D. Gündüz, "DeepWiVe: Deep-learning-aided wireless video transmission," 2021. arXiv:2111.13034.</w:t>
      </w:r>
    </w:p>
    <w:p>
      <w:pPr>
        <w:ind w:firstLine="480"/>
      </w:pPr>
      <w:r>
        <w:rPr>
          <w:rFonts w:ascii="Times New Roman" w:hAnsi="Times New Roman" w:eastAsia="宋体"/>
          <w:b w:val="0"/>
          <w:sz w:val="24"/>
        </w:rPr>
        <w:t>[20] Y. Eder and Y. C. Eldar, "Sparsity based non-contact vital signs monitoring of multiple people via FMCW radar," 2022. arXiv:2205.05152.</w:t>
      </w:r>
    </w:p>
    <w:p>
      <w:pPr>
        <w:ind w:firstLine="480"/>
      </w:pPr>
      <w:r>
        <w:rPr>
          <w:rFonts w:ascii="Times New Roman" w:hAnsi="Times New Roman" w:eastAsia="宋体"/>
          <w:b w:val="0"/>
          <w:sz w:val="24"/>
        </w:rPr>
        <w:t>[21] B. Zhang, B. Jiang, R. Zheng, X. Zhang, J. Li, and Q. Xu, "Pi-ViMo: Physiology-inspired robust vital sign monitoring using mmWave radars," 2023. arXiv:2303.13816.</w:t>
      </w:r>
    </w:p>
    <w:p>
      <w:pPr>
        <w:ind w:firstLine="480"/>
      </w:pPr>
      <w:r>
        <w:rPr>
          <w:rFonts w:ascii="Times New Roman" w:hAnsi="Times New Roman" w:eastAsia="宋体"/>
          <w:b w:val="0"/>
          <w:sz w:val="24"/>
        </w:rPr>
        <w:t>[22] C.-H. Hsieh, T.-L. Tsai, and P.-H. Tseng, "Harmonic MUSIC method for mmWave radar-based vital sign estimation," 2024. arXiv:2408.01951.</w:t>
      </w:r>
    </w:p>
    <w:p>
      <w:r>
        <w:rPr>
          <w:rFonts w:ascii="Times New Roman" w:hAnsi="Times New Roman" w:eastAsia="宋体"/>
          <w:b w:val="0"/>
          <w:i/>
          <w:sz w:val="21"/>
        </w:rPr>
        <w:t>统计：正文约 7,400 字；参考文献 22 篇（外文 22 篇，满足"外文不少于五分之二"）。导师如要求补充中文核心期刊文献（建议方向：通信学报/电子学报的 ISAC 综述、毫米波雷达生命体征检测），确认后补 2–4 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