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1880">
      <w:pPr>
        <w:adjustRightInd w:val="0"/>
        <w:snapToGrid w:val="0"/>
        <w:spacing w:afterLines="0" w:line="240" w:lineRule="auto"/>
        <w:jc w:val="center"/>
        <w:rPr>
          <w:rFonts w:ascii="Times New Roman" w:hAnsi="Times New Roman" w:eastAsia="楷体_GB2312"/>
          <w:b/>
          <w:color w:val="000000"/>
          <w:spacing w:val="40"/>
          <w:sz w:val="36"/>
        </w:rPr>
      </w:pPr>
    </w:p>
    <w:p w14:paraId="188776F7">
      <w:pPr>
        <w:adjustRightInd w:val="0"/>
        <w:snapToGrid w:val="0"/>
        <w:spacing w:afterLines="0" w:line="240" w:lineRule="auto"/>
        <w:jc w:val="center"/>
        <w:rPr>
          <w:rFonts w:ascii="Times New Roman" w:hAnsi="Times New Roman" w:eastAsia="楷体_GB2312"/>
          <w:b/>
          <w:color w:val="1D41D5"/>
          <w:spacing w:val="40"/>
          <w:sz w:val="52"/>
          <w:szCs w:val="52"/>
        </w:rPr>
      </w:pPr>
      <w:r>
        <w:rPr>
          <w:rFonts w:hint="eastAsia" w:ascii="Times New Roman" w:hAnsi="Times New Roman" w:eastAsia="楷体_GB2312"/>
          <w:b/>
          <w:color w:val="1D41D5"/>
          <w:spacing w:val="40"/>
          <w:sz w:val="52"/>
          <w:szCs w:val="52"/>
        </w:rPr>
        <w:t>上海海事大学</w:t>
      </w:r>
    </w:p>
    <w:p w14:paraId="19F8431C">
      <w:pPr>
        <w:adjustRightInd w:val="0"/>
        <w:snapToGrid w:val="0"/>
        <w:spacing w:afterLines="0" w:line="240" w:lineRule="auto"/>
        <w:jc w:val="center"/>
        <w:rPr>
          <w:rFonts w:ascii="Times New Roman" w:hAnsi="Times New Roman" w:eastAsia="楷体_GB2312"/>
          <w:b/>
          <w:color w:val="000000"/>
          <w:spacing w:val="40"/>
          <w:sz w:val="36"/>
        </w:rPr>
      </w:pPr>
    </w:p>
    <w:p w14:paraId="4D038D92">
      <w:pPr>
        <w:adjustRightInd w:val="0"/>
        <w:snapToGrid w:val="0"/>
        <w:spacing w:afterLines="0" w:line="240" w:lineRule="auto"/>
        <w:jc w:val="center"/>
        <w:rPr>
          <w:rFonts w:ascii="Times New Roman" w:hAnsi="Times New Roman" w:eastAsia="华文中宋"/>
          <w:b/>
          <w:color w:val="000000"/>
          <w:spacing w:val="40"/>
          <w:sz w:val="40"/>
        </w:rPr>
      </w:pPr>
      <w:r>
        <w:rPr>
          <w:rFonts w:hint="eastAsia" w:ascii="微软雅黑" w:hAnsi="微软雅黑" w:eastAsia="微软雅黑" w:cs="微软雅黑"/>
          <w:b/>
          <w:color w:val="000000"/>
          <w:spacing w:val="40"/>
          <w:sz w:val="44"/>
          <w:szCs w:val="44"/>
        </w:rPr>
        <w:t>专业学位硕士学位论文开题报告</w:t>
      </w:r>
    </w:p>
    <w:p w14:paraId="43A1CA80">
      <w:pPr>
        <w:adjustRightInd w:val="0"/>
        <w:snapToGrid w:val="0"/>
        <w:spacing w:afterLines="0" w:line="240" w:lineRule="auto"/>
        <w:rPr>
          <w:rFonts w:ascii="Times New Roman" w:hAnsi="Times New Roman"/>
          <w:b/>
          <w:color w:val="000000"/>
          <w:sz w:val="32"/>
        </w:rPr>
      </w:pPr>
    </w:p>
    <w:p w14:paraId="33B5B223">
      <w:pPr>
        <w:adjustRightInd w:val="0"/>
        <w:snapToGrid w:val="0"/>
        <w:spacing w:afterLines="0" w:line="240" w:lineRule="auto"/>
        <w:rPr>
          <w:rFonts w:ascii="Times New Roman" w:hAnsi="Times New Roman"/>
          <w:b/>
          <w:color w:val="000000"/>
          <w:sz w:val="32"/>
        </w:rPr>
      </w:pPr>
    </w:p>
    <w:p w14:paraId="2E600ADB">
      <w:pPr>
        <w:adjustRightInd w:val="0"/>
        <w:snapToGrid w:val="0"/>
        <w:spacing w:afterLines="0" w:line="240" w:lineRule="auto"/>
        <w:rPr>
          <w:rFonts w:ascii="Times New Roman" w:hAnsi="Times New Roman"/>
          <w:b/>
          <w:color w:val="000000"/>
          <w:sz w:val="32"/>
        </w:rPr>
      </w:pPr>
    </w:p>
    <w:p w14:paraId="3A31424A">
      <w:pPr>
        <w:adjustRightInd w:val="0"/>
        <w:snapToGrid w:val="0"/>
        <w:spacing w:afterLines="0" w:line="240" w:lineRule="auto"/>
        <w:rPr>
          <w:rFonts w:ascii="Times New Roman" w:hAnsi="Times New Roman"/>
          <w:b/>
          <w:color w:val="000000"/>
          <w:sz w:val="32"/>
        </w:rPr>
      </w:pPr>
    </w:p>
    <w:p w14:paraId="573701BA">
      <w:pPr>
        <w:adjustRightInd w:val="0"/>
        <w:snapToGrid w:val="0"/>
        <w:spacing w:afterLines="0" w:line="240" w:lineRule="auto"/>
        <w:rPr>
          <w:rFonts w:ascii="Times New Roman" w:hAnsi="Times New Roman"/>
          <w:b/>
          <w:color w:val="000000"/>
          <w:sz w:val="32"/>
        </w:rPr>
      </w:pPr>
    </w:p>
    <w:p w14:paraId="7BBF68E6">
      <w:pPr>
        <w:adjustRightInd w:val="0"/>
        <w:snapToGrid w:val="0"/>
        <w:spacing w:afterLines="0" w:line="240" w:lineRule="auto"/>
        <w:ind w:firstLine="944" w:firstLineChars="295"/>
        <w:rPr>
          <w:rFonts w:ascii="Times New Roman" w:hAnsi="Times New Roman"/>
          <w:color w:val="000000"/>
          <w:sz w:val="32"/>
          <w:u w:val="single"/>
        </w:rPr>
      </w:pPr>
      <w:r>
        <w:rPr>
          <w:rFonts w:ascii="Times New Roman"/>
          <w:color w:val="000000"/>
          <w:sz w:val="32"/>
        </w:rPr>
        <w:t>论文题目：OFDM 通感一体化系统中实时视频传输与微动感知关键技术研究</w:t>
      </w:r>
    </w:p>
    <w:p w14:paraId="0A7299F9">
      <w:pPr>
        <w:adjustRightInd w:val="0"/>
        <w:snapToGrid w:val="0"/>
        <w:spacing w:afterLines="0" w:line="240" w:lineRule="auto"/>
        <w:rPr>
          <w:rFonts w:ascii="Times New Roman" w:hAnsi="Times New Roman"/>
          <w:b/>
          <w:color w:val="000000"/>
          <w:sz w:val="32"/>
        </w:rPr>
      </w:pPr>
    </w:p>
    <w:p w14:paraId="0F07AB7F">
      <w:pPr>
        <w:adjustRightInd w:val="0"/>
        <w:snapToGrid w:val="0"/>
        <w:spacing w:afterLines="0" w:line="240" w:lineRule="auto"/>
        <w:rPr>
          <w:rFonts w:ascii="Times New Roman" w:hAnsi="Times New Roman"/>
          <w:b/>
          <w:color w:val="000000"/>
          <w:sz w:val="32"/>
        </w:rPr>
      </w:pPr>
    </w:p>
    <w:tbl>
      <w:tblPr>
        <w:tblStyle w:val="32"/>
        <w:tblW w:w="0" w:type="auto"/>
        <w:jc w:val="center"/>
        <w:tblLayout w:type="autofit"/>
        <w:tblCellMar>
          <w:top w:w="0" w:type="dxa"/>
          <w:left w:w="28" w:type="dxa"/>
          <w:bottom w:w="0" w:type="dxa"/>
          <w:right w:w="28" w:type="dxa"/>
        </w:tblCellMar>
      </w:tblPr>
      <w:tblGrid>
        <w:gridCol w:w="2237"/>
        <w:gridCol w:w="4277"/>
      </w:tblGrid>
      <w:tr w14:paraId="70D26B26">
        <w:tblPrEx>
          <w:tblCellMar>
            <w:top w:w="0" w:type="dxa"/>
            <w:left w:w="28" w:type="dxa"/>
            <w:bottom w:w="0" w:type="dxa"/>
            <w:right w:w="28" w:type="dxa"/>
          </w:tblCellMar>
        </w:tblPrEx>
        <w:trPr>
          <w:trHeight w:val="558" w:hRule="atLeast"/>
          <w:jc w:val="center"/>
        </w:trPr>
        <w:tc>
          <w:tcPr>
            <w:tcW w:w="2237" w:type="dxa"/>
            <w:noWrap w:val="0"/>
            <w:vAlign w:val="center"/>
          </w:tcPr>
          <w:p w14:paraId="1082DA4F">
            <w:pPr>
              <w:wordWrap w:val="0"/>
              <w:spacing w:afterLines="0"/>
              <w:jc w:val="right"/>
              <w:rPr>
                <w:rFonts w:ascii="Times New Roman" w:hAnsi="Times New Roman"/>
                <w:b/>
                <w:color w:val="000000"/>
                <w:sz w:val="44"/>
              </w:rPr>
            </w:pPr>
            <w:r>
              <w:rPr>
                <w:rFonts w:ascii="Times New Roman"/>
                <w:color w:val="000000"/>
                <w:sz w:val="30"/>
              </w:rPr>
              <w:t>姓名：</w:t>
            </w:r>
          </w:p>
        </w:tc>
        <w:tc>
          <w:tcPr>
            <w:tcW w:w="4277" w:type="dxa"/>
            <w:noWrap w:val="0"/>
            <w:vAlign w:val="center"/>
          </w:tcPr>
          <w:p w14:paraId="6924ECCD">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叶嘉锐</w:t>
            </w:r>
          </w:p>
        </w:tc>
      </w:tr>
      <w:tr w14:paraId="29A23617">
        <w:tblPrEx>
          <w:tblCellMar>
            <w:top w:w="0" w:type="dxa"/>
            <w:left w:w="28" w:type="dxa"/>
            <w:bottom w:w="0" w:type="dxa"/>
            <w:right w:w="28" w:type="dxa"/>
          </w:tblCellMar>
        </w:tblPrEx>
        <w:trPr>
          <w:jc w:val="center"/>
        </w:trPr>
        <w:tc>
          <w:tcPr>
            <w:tcW w:w="2237" w:type="dxa"/>
            <w:noWrap w:val="0"/>
            <w:vAlign w:val="center"/>
          </w:tcPr>
          <w:p w14:paraId="48115D88">
            <w:pPr>
              <w:wordWrap w:val="0"/>
              <w:spacing w:afterLines="0"/>
              <w:jc w:val="right"/>
              <w:rPr>
                <w:rFonts w:ascii="Times New Roman" w:hAnsi="Times New Roman"/>
                <w:color w:val="000000"/>
                <w:sz w:val="30"/>
              </w:rPr>
            </w:pPr>
            <w:r>
              <w:rPr>
                <w:rFonts w:ascii="Times New Roman"/>
                <w:color w:val="000000"/>
                <w:sz w:val="30"/>
              </w:rPr>
              <w:t>学号：</w:t>
            </w:r>
          </w:p>
        </w:tc>
        <w:tc>
          <w:tcPr>
            <w:tcW w:w="4277" w:type="dxa"/>
            <w:noWrap w:val="0"/>
            <w:vAlign w:val="center"/>
          </w:tcPr>
          <w:p w14:paraId="75F70CAA">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202530310195</w:t>
            </w:r>
          </w:p>
        </w:tc>
      </w:tr>
      <w:tr w14:paraId="359D3FAB">
        <w:tblPrEx>
          <w:tblCellMar>
            <w:top w:w="0" w:type="dxa"/>
            <w:left w:w="28" w:type="dxa"/>
            <w:bottom w:w="0" w:type="dxa"/>
            <w:right w:w="28" w:type="dxa"/>
          </w:tblCellMar>
        </w:tblPrEx>
        <w:trPr>
          <w:jc w:val="center"/>
        </w:trPr>
        <w:tc>
          <w:tcPr>
            <w:tcW w:w="2237" w:type="dxa"/>
            <w:noWrap w:val="0"/>
            <w:vAlign w:val="center"/>
          </w:tcPr>
          <w:p w14:paraId="06536CB7">
            <w:pPr>
              <w:spacing w:afterLines="0"/>
              <w:jc w:val="right"/>
              <w:rPr>
                <w:rFonts w:ascii="Times New Roman" w:hAnsi="Times New Roman"/>
                <w:color w:val="000000"/>
                <w:sz w:val="30"/>
              </w:rPr>
            </w:pPr>
            <w:r>
              <w:rPr>
                <w:rFonts w:ascii="Times New Roman"/>
                <w:color w:val="000000"/>
                <w:sz w:val="30"/>
              </w:rPr>
              <w:t>专业</w:t>
            </w:r>
            <w:r>
              <w:rPr>
                <w:rFonts w:hint="eastAsia" w:ascii="Times New Roman"/>
                <w:color w:val="000000"/>
                <w:sz w:val="30"/>
              </w:rPr>
              <w:t>/领域</w:t>
            </w:r>
            <w:r>
              <w:rPr>
                <w:rFonts w:ascii="Times New Roman"/>
                <w:color w:val="000000"/>
                <w:sz w:val="30"/>
              </w:rPr>
              <w:t>：</w:t>
            </w:r>
          </w:p>
        </w:tc>
        <w:tc>
          <w:tcPr>
            <w:tcW w:w="4277" w:type="dxa"/>
            <w:noWrap w:val="0"/>
            <w:vAlign w:val="center"/>
          </w:tcPr>
          <w:p w14:paraId="01B7E70A">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通信工程</w:t>
            </w:r>
          </w:p>
        </w:tc>
      </w:tr>
      <w:tr w14:paraId="550B31D3">
        <w:tblPrEx>
          <w:tblCellMar>
            <w:top w:w="0" w:type="dxa"/>
            <w:left w:w="28" w:type="dxa"/>
            <w:bottom w:w="0" w:type="dxa"/>
            <w:right w:w="28" w:type="dxa"/>
          </w:tblCellMar>
        </w:tblPrEx>
        <w:trPr>
          <w:jc w:val="center"/>
        </w:trPr>
        <w:tc>
          <w:tcPr>
            <w:tcW w:w="2237" w:type="dxa"/>
            <w:noWrap w:val="0"/>
            <w:vAlign w:val="center"/>
          </w:tcPr>
          <w:p w14:paraId="1F9306C3">
            <w:pPr>
              <w:spacing w:afterLines="0"/>
              <w:jc w:val="right"/>
              <w:rPr>
                <w:rFonts w:ascii="Times New Roman"/>
                <w:color w:val="000000"/>
                <w:sz w:val="30"/>
              </w:rPr>
            </w:pPr>
            <w:r>
              <w:rPr>
                <w:rFonts w:hint="eastAsia" w:ascii="Times New Roman"/>
                <w:color w:val="000000"/>
                <w:sz w:val="30"/>
              </w:rPr>
              <w:t>培养类型：</w:t>
            </w:r>
          </w:p>
        </w:tc>
        <w:tc>
          <w:tcPr>
            <w:tcW w:w="4277" w:type="dxa"/>
            <w:noWrap w:val="0"/>
            <w:vAlign w:val="center"/>
          </w:tcPr>
          <w:p w14:paraId="11EF61E0">
            <w:pPr>
              <w:spacing w:afterLines="0"/>
              <w:jc w:val="left"/>
              <w:rPr>
                <w:rFonts w:ascii="Times New Roman" w:hAnsi="Times New Roman"/>
                <w:color w:val="000000"/>
                <w:sz w:val="30"/>
                <w:u w:val="single"/>
              </w:rPr>
            </w:pPr>
            <w:r>
              <w:rPr>
                <w:rFonts w:hint="eastAsia" w:ascii="Times New Roman" w:hAnsi="宋体"/>
                <w:color w:val="000000"/>
                <w:sz w:val="24"/>
                <w:szCs w:val="21"/>
                <w:u w:val="single"/>
                <w:lang w:eastAsia="zh-CN"/>
              </w:rPr>
              <w:t>☑</w:t>
            </w:r>
            <w:r>
              <w:rPr>
                <w:rFonts w:hint="eastAsia" w:ascii="Times New Roman" w:hAnsi="宋体"/>
                <w:color w:val="000000"/>
                <w:sz w:val="24"/>
                <w:szCs w:val="21"/>
                <w:u w:val="single"/>
              </w:rPr>
              <w:t xml:space="preserve">全日制   </w:t>
            </w:r>
            <w:r>
              <w:rPr>
                <w:rFonts w:ascii="Times New Roman" w:hAnsi="宋体"/>
                <w:color w:val="000000"/>
                <w:sz w:val="24"/>
                <w:szCs w:val="21"/>
                <w:u w:val="single"/>
              </w:rPr>
              <w:t>□</w:t>
            </w:r>
            <w:r>
              <w:rPr>
                <w:rFonts w:hint="eastAsia" w:ascii="Times New Roman" w:hAnsi="宋体"/>
                <w:color w:val="000000"/>
                <w:sz w:val="24"/>
                <w:szCs w:val="21"/>
                <w:u w:val="single"/>
              </w:rPr>
              <w:t>非全日制</w:t>
            </w:r>
          </w:p>
        </w:tc>
      </w:tr>
      <w:tr w14:paraId="128DADD5">
        <w:tblPrEx>
          <w:tblCellMar>
            <w:top w:w="0" w:type="dxa"/>
            <w:left w:w="28" w:type="dxa"/>
            <w:bottom w:w="0" w:type="dxa"/>
            <w:right w:w="28" w:type="dxa"/>
          </w:tblCellMar>
        </w:tblPrEx>
        <w:trPr>
          <w:jc w:val="center"/>
        </w:trPr>
        <w:tc>
          <w:tcPr>
            <w:tcW w:w="2237" w:type="dxa"/>
            <w:noWrap w:val="0"/>
            <w:vAlign w:val="center"/>
          </w:tcPr>
          <w:p w14:paraId="71879DD7">
            <w:pPr>
              <w:spacing w:afterLines="0"/>
              <w:jc w:val="right"/>
              <w:rPr>
                <w:rFonts w:ascii="Times New Roman" w:hAnsi="Times New Roman"/>
                <w:color w:val="000000"/>
                <w:sz w:val="30"/>
              </w:rPr>
            </w:pPr>
            <w:r>
              <w:rPr>
                <w:rFonts w:hint="eastAsia" w:ascii="Times New Roman"/>
                <w:color w:val="000000"/>
                <w:sz w:val="30"/>
              </w:rPr>
              <w:t>指导教师</w:t>
            </w:r>
            <w:r>
              <w:rPr>
                <w:rFonts w:ascii="Times New Roman"/>
                <w:color w:val="000000"/>
                <w:sz w:val="30"/>
              </w:rPr>
              <w:t>：</w:t>
            </w:r>
          </w:p>
        </w:tc>
        <w:tc>
          <w:tcPr>
            <w:tcW w:w="4277" w:type="dxa"/>
            <w:noWrap w:val="0"/>
            <w:vAlign w:val="center"/>
          </w:tcPr>
          <w:p w14:paraId="6B9ED934">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徐志京</w:t>
            </w:r>
          </w:p>
        </w:tc>
      </w:tr>
      <w:tr w14:paraId="10C753D8">
        <w:tblPrEx>
          <w:tblCellMar>
            <w:top w:w="0" w:type="dxa"/>
            <w:left w:w="28" w:type="dxa"/>
            <w:bottom w:w="0" w:type="dxa"/>
            <w:right w:w="28" w:type="dxa"/>
          </w:tblCellMar>
        </w:tblPrEx>
        <w:trPr>
          <w:jc w:val="center"/>
        </w:trPr>
        <w:tc>
          <w:tcPr>
            <w:tcW w:w="2237" w:type="dxa"/>
            <w:noWrap w:val="0"/>
            <w:vAlign w:val="center"/>
          </w:tcPr>
          <w:p w14:paraId="17CC40C7">
            <w:pPr>
              <w:spacing w:afterLines="0"/>
              <w:jc w:val="right"/>
              <w:rPr>
                <w:rFonts w:ascii="Times New Roman"/>
                <w:color w:val="000000"/>
                <w:sz w:val="30"/>
              </w:rPr>
            </w:pPr>
            <w:r>
              <w:rPr>
                <w:rFonts w:hint="eastAsia" w:ascii="Times New Roman"/>
                <w:color w:val="000000"/>
                <w:sz w:val="30"/>
              </w:rPr>
              <w:t>实践导师：</w:t>
            </w:r>
          </w:p>
        </w:tc>
        <w:tc>
          <w:tcPr>
            <w:tcW w:w="4277" w:type="dxa"/>
            <w:noWrap w:val="0"/>
            <w:vAlign w:val="center"/>
          </w:tcPr>
          <w:p w14:paraId="6D453337">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丁鹏仁</w:t>
            </w:r>
          </w:p>
        </w:tc>
      </w:tr>
      <w:tr w14:paraId="207A6FF9">
        <w:tblPrEx>
          <w:tblCellMar>
            <w:top w:w="0" w:type="dxa"/>
            <w:left w:w="28" w:type="dxa"/>
            <w:bottom w:w="0" w:type="dxa"/>
            <w:right w:w="28" w:type="dxa"/>
          </w:tblCellMar>
        </w:tblPrEx>
        <w:trPr>
          <w:jc w:val="center"/>
        </w:trPr>
        <w:tc>
          <w:tcPr>
            <w:tcW w:w="2237" w:type="dxa"/>
            <w:noWrap w:val="0"/>
            <w:vAlign w:val="center"/>
          </w:tcPr>
          <w:p w14:paraId="44A2F967">
            <w:pPr>
              <w:spacing w:afterLines="0"/>
              <w:jc w:val="right"/>
              <w:rPr>
                <w:rFonts w:ascii="Times New Roman" w:hAnsi="Times New Roman"/>
                <w:color w:val="000000"/>
                <w:sz w:val="30"/>
              </w:rPr>
            </w:pPr>
            <w:r>
              <w:rPr>
                <w:rFonts w:ascii="Times New Roman"/>
                <w:color w:val="000000"/>
                <w:sz w:val="30"/>
              </w:rPr>
              <w:t>入学日期：</w:t>
            </w:r>
          </w:p>
        </w:tc>
        <w:tc>
          <w:tcPr>
            <w:tcW w:w="4277" w:type="dxa"/>
            <w:noWrap w:val="0"/>
            <w:vAlign w:val="center"/>
          </w:tcPr>
          <w:p w14:paraId="598478C9">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2025.09.12</w:t>
            </w:r>
          </w:p>
        </w:tc>
      </w:tr>
      <w:tr w14:paraId="23BB0FD7">
        <w:tblPrEx>
          <w:tblCellMar>
            <w:top w:w="0" w:type="dxa"/>
            <w:left w:w="28" w:type="dxa"/>
            <w:bottom w:w="0" w:type="dxa"/>
            <w:right w:w="28" w:type="dxa"/>
          </w:tblCellMar>
        </w:tblPrEx>
        <w:trPr>
          <w:jc w:val="center"/>
        </w:trPr>
        <w:tc>
          <w:tcPr>
            <w:tcW w:w="2237" w:type="dxa"/>
            <w:noWrap w:val="0"/>
            <w:vAlign w:val="center"/>
          </w:tcPr>
          <w:p w14:paraId="5BE9A33A">
            <w:pPr>
              <w:spacing w:afterLines="0"/>
              <w:jc w:val="right"/>
              <w:rPr>
                <w:rFonts w:ascii="Times New Roman" w:hAnsi="Times New Roman"/>
                <w:color w:val="000000"/>
                <w:sz w:val="30"/>
              </w:rPr>
            </w:pPr>
            <w:r>
              <w:rPr>
                <w:rFonts w:ascii="Times New Roman"/>
                <w:color w:val="000000"/>
                <w:sz w:val="30"/>
              </w:rPr>
              <w:t>报告日期：</w:t>
            </w:r>
          </w:p>
        </w:tc>
        <w:tc>
          <w:tcPr>
            <w:tcW w:w="4277" w:type="dxa"/>
            <w:noWrap w:val="0"/>
            <w:vAlign w:val="center"/>
          </w:tcPr>
          <w:p w14:paraId="1719BE1C">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2026.</w:t>
            </w:r>
          </w:p>
        </w:tc>
      </w:tr>
      <w:tr w14:paraId="01800077">
        <w:tblPrEx>
          <w:tblCellMar>
            <w:top w:w="0" w:type="dxa"/>
            <w:left w:w="28" w:type="dxa"/>
            <w:bottom w:w="0" w:type="dxa"/>
            <w:right w:w="28" w:type="dxa"/>
          </w:tblCellMar>
        </w:tblPrEx>
        <w:trPr>
          <w:jc w:val="center"/>
        </w:trPr>
        <w:tc>
          <w:tcPr>
            <w:tcW w:w="2237" w:type="dxa"/>
            <w:noWrap w:val="0"/>
            <w:vAlign w:val="center"/>
          </w:tcPr>
          <w:p w14:paraId="73A3EEBD">
            <w:pPr>
              <w:spacing w:afterLines="0"/>
              <w:jc w:val="right"/>
              <w:rPr>
                <w:rFonts w:ascii="Times New Roman" w:hAnsi="Times New Roman"/>
                <w:color w:val="000000"/>
                <w:sz w:val="30"/>
              </w:rPr>
            </w:pPr>
            <w:r>
              <w:rPr>
                <w:rFonts w:ascii="Times New Roman"/>
                <w:color w:val="000000"/>
                <w:sz w:val="30"/>
              </w:rPr>
              <w:t>报告地点：</w:t>
            </w:r>
          </w:p>
        </w:tc>
        <w:tc>
          <w:tcPr>
            <w:tcW w:w="4277" w:type="dxa"/>
            <w:noWrap w:val="0"/>
            <w:vAlign w:val="center"/>
          </w:tcPr>
          <w:p w14:paraId="06550F51">
            <w:pPr>
              <w:spacing w:afterLines="0"/>
              <w:jc w:val="left"/>
              <w:rPr>
                <w:rFonts w:ascii="Times New Roman" w:hAnsi="Times New Roman"/>
                <w:color w:val="000000"/>
                <w:sz w:val="30"/>
                <w:u w:val="single"/>
              </w:rPr>
            </w:pPr>
          </w:p>
        </w:tc>
      </w:tr>
    </w:tbl>
    <w:p w14:paraId="348F8F60">
      <w:pPr>
        <w:adjustRightInd w:val="0"/>
        <w:snapToGrid w:val="0"/>
        <w:spacing w:afterLines="0" w:line="240" w:lineRule="auto"/>
        <w:rPr>
          <w:rFonts w:ascii="Times New Roman" w:hAnsi="Times New Roman"/>
          <w:b/>
          <w:color w:val="000000"/>
          <w:sz w:val="32"/>
        </w:rPr>
      </w:pPr>
    </w:p>
    <w:p w14:paraId="367EACD2">
      <w:pPr>
        <w:adjustRightInd w:val="0"/>
        <w:snapToGrid w:val="0"/>
        <w:spacing w:afterLines="0" w:line="240" w:lineRule="auto"/>
        <w:rPr>
          <w:rFonts w:ascii="Times New Roman" w:hAnsi="Times New Roman"/>
          <w:b/>
          <w:color w:val="000000"/>
          <w:sz w:val="32"/>
        </w:rPr>
      </w:pPr>
    </w:p>
    <w:p w14:paraId="03E87E79">
      <w:pPr>
        <w:adjustRightInd w:val="0"/>
        <w:snapToGrid w:val="0"/>
        <w:spacing w:afterLines="0" w:line="240" w:lineRule="auto"/>
        <w:rPr>
          <w:rFonts w:ascii="Times New Roman" w:hAnsi="Times New Roman"/>
          <w:b/>
          <w:color w:val="000000"/>
          <w:sz w:val="32"/>
        </w:rPr>
      </w:pPr>
    </w:p>
    <w:p w14:paraId="7C266EE8">
      <w:pPr>
        <w:adjustRightInd w:val="0"/>
        <w:snapToGrid w:val="0"/>
        <w:spacing w:afterLines="0" w:line="240" w:lineRule="auto"/>
        <w:jc w:val="center"/>
        <w:rPr>
          <w:rFonts w:ascii="Times New Roman" w:hAnsi="Times New Roman"/>
          <w:color w:val="000000"/>
          <w:sz w:val="32"/>
        </w:rPr>
      </w:pPr>
      <w:r>
        <w:rPr>
          <w:rFonts w:ascii="Times New Roman"/>
          <w:color w:val="000000"/>
          <w:sz w:val="32"/>
        </w:rPr>
        <w:t>研究生院制表</w:t>
      </w:r>
    </w:p>
    <w:p w14:paraId="03CFAF14">
      <w:pPr>
        <w:snapToGrid w:val="0"/>
        <w:spacing w:before="156" w:beforeLines="50" w:afterLines="0"/>
        <w:jc w:val="center"/>
        <w:rPr>
          <w:rFonts w:ascii="楷体_GB2312" w:hAnsi="华文中宋" w:eastAsia="楷体_GB2312"/>
          <w:color w:val="000000"/>
          <w:sz w:val="40"/>
          <w:szCs w:val="24"/>
        </w:rPr>
      </w:pPr>
      <w:r>
        <w:rPr>
          <w:rFonts w:ascii="Times New Roman" w:hAnsi="Times New Roman"/>
          <w:color w:val="000000"/>
        </w:rPr>
        <w:br w:type="page"/>
      </w:r>
      <w:r>
        <w:rPr>
          <w:rFonts w:hint="eastAsia" w:ascii="楷体_GB2312" w:hAnsi="华文中宋" w:eastAsia="楷体_GB2312"/>
          <w:color w:val="000000"/>
          <w:sz w:val="40"/>
          <w:szCs w:val="24"/>
        </w:rPr>
        <w:t>说  明</w:t>
      </w:r>
    </w:p>
    <w:p w14:paraId="38296175">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学位论文开题报告</w:t>
      </w:r>
      <w:r>
        <w:rPr>
          <w:rFonts w:ascii="Times New Roman" w:hAnsi="宋体"/>
          <w:color w:val="000000"/>
          <w:kern w:val="0"/>
          <w:sz w:val="24"/>
          <w:szCs w:val="24"/>
        </w:rPr>
        <w:t>是</w:t>
      </w:r>
      <w:r>
        <w:rPr>
          <w:rFonts w:hint="eastAsia" w:ascii="Times New Roman" w:hAnsi="宋体"/>
          <w:color w:val="000000"/>
          <w:kern w:val="0"/>
          <w:sz w:val="24"/>
          <w:szCs w:val="24"/>
        </w:rPr>
        <w:t>硕士研究</w:t>
      </w:r>
      <w:r>
        <w:rPr>
          <w:rFonts w:ascii="Times New Roman" w:hAnsi="宋体"/>
          <w:color w:val="000000"/>
          <w:kern w:val="0"/>
          <w:sz w:val="24"/>
          <w:szCs w:val="24"/>
        </w:rPr>
        <w:t>生</w:t>
      </w:r>
      <w:r>
        <w:rPr>
          <w:rFonts w:hint="eastAsia" w:ascii="Times New Roman" w:hAnsi="宋体"/>
          <w:color w:val="000000"/>
          <w:kern w:val="0"/>
          <w:sz w:val="24"/>
          <w:szCs w:val="24"/>
        </w:rPr>
        <w:t>课程学习结束后</w:t>
      </w:r>
      <w:r>
        <w:rPr>
          <w:rFonts w:ascii="Times New Roman" w:hAnsi="宋体"/>
          <w:color w:val="000000"/>
          <w:kern w:val="0"/>
          <w:sz w:val="24"/>
          <w:szCs w:val="24"/>
        </w:rPr>
        <w:t>开展学位论文工作的基本要求，是保证学位论文质量、工作进度和研究生培养质量的首要环节。</w:t>
      </w:r>
      <w:r>
        <w:rPr>
          <w:rFonts w:hint="eastAsia" w:ascii="Times New Roman" w:hAnsi="宋体"/>
          <w:color w:val="000000"/>
          <w:kern w:val="0"/>
          <w:sz w:val="24"/>
          <w:szCs w:val="24"/>
        </w:rPr>
        <w:t>专业学位硕士研究生学位论文可以是产品研发、工程设计、专题应用研究、工程/项目管理、调研报告等形式，具体要求应参照全国相关专业/领域专业学位教育指导委员会制定的专业学位标准。</w:t>
      </w:r>
    </w:p>
    <w:p w14:paraId="147DC91C">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一、报告内容：</w:t>
      </w:r>
    </w:p>
    <w:p w14:paraId="0B6DAA6B">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1.考查硕士生对本专业/领域课程学习、校内外实践（实验）、联合培养情况，对专业知识、技能、标准规范等掌握程度；</w:t>
      </w:r>
    </w:p>
    <w:p w14:paraId="601FBE4A">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2.论文工作准备情况，包括论文选题是否适合专业学位研究生培养要求、论文的目的意义及国内外发展状况、论文内容的合理性、方法的科学性、工作量与工作难度、预期成果的实用性和新颖性、文献阅读等。</w:t>
      </w:r>
    </w:p>
    <w:p w14:paraId="447C00D7">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二、</w:t>
      </w:r>
      <w:r>
        <w:rPr>
          <w:rFonts w:ascii="Times New Roman" w:hAnsi="宋体"/>
          <w:color w:val="000000"/>
          <w:kern w:val="0"/>
          <w:sz w:val="24"/>
          <w:szCs w:val="24"/>
        </w:rPr>
        <w:t>报告</w:t>
      </w:r>
      <w:r>
        <w:rPr>
          <w:rFonts w:hint="eastAsia" w:ascii="Times New Roman" w:hAnsi="宋体"/>
          <w:color w:val="000000"/>
          <w:kern w:val="0"/>
          <w:sz w:val="24"/>
          <w:szCs w:val="24"/>
        </w:rPr>
        <w:t>撰写：</w:t>
      </w:r>
      <w:r>
        <w:rPr>
          <w:rFonts w:ascii="Times New Roman" w:hAnsi="宋体"/>
          <w:color w:val="000000"/>
          <w:kern w:val="0"/>
          <w:sz w:val="24"/>
          <w:szCs w:val="24"/>
        </w:rPr>
        <w:t>开题报告正文字数不少于</w:t>
      </w:r>
      <w:r>
        <w:rPr>
          <w:rFonts w:hint="eastAsia" w:ascii="Times New Roman" w:hAnsi="宋体"/>
          <w:color w:val="000000"/>
          <w:kern w:val="0"/>
          <w:sz w:val="24"/>
          <w:szCs w:val="24"/>
        </w:rPr>
        <w:t>6</w:t>
      </w:r>
      <w:r>
        <w:rPr>
          <w:rFonts w:ascii="Times New Roman" w:hAnsi="宋体"/>
          <w:color w:val="000000"/>
          <w:kern w:val="0"/>
          <w:sz w:val="24"/>
          <w:szCs w:val="24"/>
        </w:rPr>
        <w:t>000字；参考文献数量不少于</w:t>
      </w:r>
      <w:r>
        <w:rPr>
          <w:rFonts w:hint="eastAsia" w:ascii="Times New Roman" w:hAnsi="宋体"/>
          <w:color w:val="000000"/>
          <w:kern w:val="0"/>
          <w:sz w:val="24"/>
          <w:szCs w:val="24"/>
        </w:rPr>
        <w:t>2</w:t>
      </w:r>
      <w:r>
        <w:rPr>
          <w:rFonts w:ascii="Times New Roman" w:hAnsi="宋体"/>
          <w:color w:val="000000"/>
          <w:kern w:val="0"/>
          <w:sz w:val="24"/>
          <w:szCs w:val="24"/>
        </w:rPr>
        <w:t>0篇</w:t>
      </w:r>
      <w:r>
        <w:rPr>
          <w:rFonts w:hint="eastAsia" w:ascii="Times New Roman" w:hAnsi="宋体"/>
          <w:color w:val="000000"/>
          <w:kern w:val="0"/>
          <w:sz w:val="24"/>
          <w:szCs w:val="24"/>
        </w:rPr>
        <w:t>（其中外文文献不少于五分之二）</w:t>
      </w:r>
      <w:r>
        <w:rPr>
          <w:rFonts w:ascii="Times New Roman" w:hAnsi="宋体"/>
          <w:color w:val="000000"/>
          <w:kern w:val="0"/>
          <w:sz w:val="24"/>
          <w:szCs w:val="24"/>
        </w:rPr>
        <w:t>；正文及参考文献等撰写要求参见《</w:t>
      </w:r>
      <w:r>
        <w:rPr>
          <w:rFonts w:hint="eastAsia" w:ascii="Times New Roman" w:hAnsi="宋体"/>
          <w:color w:val="000000"/>
          <w:kern w:val="0"/>
          <w:sz w:val="24"/>
          <w:szCs w:val="24"/>
        </w:rPr>
        <w:t>上海海事</w:t>
      </w:r>
      <w:r>
        <w:rPr>
          <w:rFonts w:ascii="Times New Roman" w:hAnsi="宋体"/>
          <w:color w:val="000000"/>
          <w:kern w:val="0"/>
          <w:sz w:val="24"/>
          <w:szCs w:val="24"/>
        </w:rPr>
        <w:t>大学学位论文格式规范》。</w:t>
      </w:r>
    </w:p>
    <w:p w14:paraId="1FC2F15B">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三、报告保存：研究生应根据答辩会上的专家意见修改完善开题报告或中期报告，经导师审核、签字后，保存为PDF文档格式，上传到研究生信息管理系统。</w:t>
      </w:r>
    </w:p>
    <w:p w14:paraId="34E9FF0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四、学位论文类别</w:t>
      </w:r>
    </w:p>
    <w:p w14:paraId="3E0633D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法律硕士：案例分析类；调研报告类；专题研究类</w:t>
      </w:r>
    </w:p>
    <w:p w14:paraId="08829935">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工程管理：工程案例分析；工程应用；专题研究</w:t>
      </w:r>
    </w:p>
    <w:p w14:paraId="171D635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工程硕士：产品研发类；工程设计类；工程项目管理类；调研报告类；应用研究类</w:t>
      </w:r>
    </w:p>
    <w:p w14:paraId="698027E9">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工商管理硕士：案例分析类；企业诊断类；调研报告类；专题研究类</w:t>
      </w:r>
    </w:p>
    <w:p w14:paraId="75FA5F5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应用统计：实证分析；调研类；研究类</w:t>
      </w:r>
    </w:p>
    <w:p w14:paraId="192D9B4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翻译硕士：案例分析类；调研报告类</w:t>
      </w:r>
    </w:p>
    <w:p w14:paraId="289D6A41">
      <w:pPr>
        <w:snapToGrid w:val="0"/>
        <w:spacing w:afterLines="0"/>
        <w:ind w:firstLine="480" w:firstLineChars="200"/>
        <w:rPr>
          <w:rFonts w:hint="eastAsia" w:ascii="Times New Roman" w:hAnsi="Times New Roman"/>
          <w:color w:val="000000"/>
          <w:kern w:val="0"/>
          <w:sz w:val="24"/>
          <w:szCs w:val="24"/>
        </w:rPr>
      </w:pPr>
      <w:r>
        <w:rPr>
          <w:rFonts w:hint="eastAsia" w:ascii="Times New Roman" w:hAnsi="Times New Roman"/>
          <w:color w:val="000000"/>
          <w:kern w:val="0"/>
          <w:sz w:val="24"/>
          <w:szCs w:val="24"/>
        </w:rPr>
        <w:t>会计：</w:t>
      </w:r>
      <w:r>
        <w:rPr>
          <w:rFonts w:hint="eastAsia" w:ascii="Times New Roman" w:hAnsi="宋体"/>
          <w:color w:val="000000"/>
          <w:kern w:val="0"/>
          <w:sz w:val="24"/>
          <w:szCs w:val="24"/>
        </w:rPr>
        <w:t>案例分析类；调研报告类；专题研究类</w:t>
      </w:r>
    </w:p>
    <w:p w14:paraId="2DAF42F8">
      <w:pPr>
        <w:numPr>
          <w:ilvl w:val="0"/>
          <w:numId w:val="0"/>
        </w:numPr>
        <w:adjustRightInd w:val="0"/>
        <w:snapToGrid w:val="0"/>
        <w:spacing w:afterLines="0"/>
        <w:rPr>
          <w:rFonts w:ascii="Times New Roman" w:hAnsi="Times New Roman"/>
          <w:color w:val="000000"/>
          <w:sz w:val="24"/>
          <w:szCs w:val="24"/>
        </w:rPr>
      </w:pPr>
    </w:p>
    <w:p w14:paraId="639DD77A">
      <w:pPr>
        <w:adjustRightInd w:val="0"/>
        <w:snapToGrid w:val="0"/>
        <w:spacing w:after="156" w:afterLines="50" w:line="240" w:lineRule="auto"/>
        <w:rPr>
          <w:rFonts w:ascii="宋体" w:hAnsi="宋体"/>
          <w:color w:val="000000"/>
          <w:sz w:val="24"/>
          <w:szCs w:val="36"/>
        </w:rPr>
      </w:pPr>
    </w:p>
    <w:p w14:paraId="7954399C">
      <w:pPr>
        <w:snapToGrid w:val="0"/>
        <w:spacing w:afterLines="0" w:line="276" w:lineRule="auto"/>
        <w:jc w:val="both"/>
        <w:rPr>
          <w:rFonts w:ascii="Times New Roman" w:hAnsi="华文中宋" w:eastAsia="华文中宋"/>
          <w:b/>
          <w:color w:val="000000"/>
          <w:sz w:val="32"/>
          <w:szCs w:val="24"/>
        </w:rPr>
        <w:sectPr>
          <w:pgSz w:w="11906" w:h="16838"/>
          <w:pgMar w:top="1440" w:right="1800" w:bottom="1440" w:left="1800" w:header="851" w:footer="992" w:gutter="0"/>
          <w:cols w:space="720" w:num="1"/>
          <w:docGrid w:type="lines" w:linePitch="312" w:charSpace="0"/>
        </w:sectPr>
      </w:pPr>
    </w:p>
    <w:p w14:paraId="2D4BB6A5">
      <w:pPr>
        <w:snapToGrid w:val="0"/>
        <w:spacing w:before="156" w:beforeLines="50" w:afterLines="0"/>
        <w:jc w:val="center"/>
        <w:rPr>
          <w:rFonts w:ascii="宋体" w:hAnsi="宋体"/>
          <w:color w:val="000000"/>
          <w:sz w:val="24"/>
          <w:szCs w:val="36"/>
        </w:rPr>
      </w:pPr>
      <w:r>
        <w:rPr>
          <w:rFonts w:hint="eastAsia" w:ascii="Times New Roman" w:hAnsi="华文中宋" w:eastAsia="华文中宋"/>
          <w:b/>
          <w:color w:val="000000"/>
          <w:sz w:val="32"/>
          <w:szCs w:val="24"/>
        </w:rPr>
        <w:t>学位论文</w:t>
      </w:r>
      <w:r>
        <w:rPr>
          <w:rFonts w:ascii="Times New Roman" w:hAnsi="华文中宋" w:eastAsia="华文中宋"/>
          <w:b/>
          <w:color w:val="000000"/>
          <w:sz w:val="32"/>
          <w:szCs w:val="24"/>
        </w:rPr>
        <w:t>开题报告正文</w:t>
      </w:r>
    </w:p>
    <w:p w14:paraId="4B6F38D6">
      <w:r>
        <w:rPr>
          <w:rFonts w:ascii="Times New Roman" w:hAnsi="Times New Roman" w:eastAsia="黑体"/>
          <w:b/>
          <w:sz w:val="28"/>
        </w:rPr>
        <w:t>一、课程学习、技术标准学习及校内实践（实验）情况、参加科研和学术活动情况</w:t>
      </w:r>
    </w:p>
    <w:p w14:paraId="33A983FD">
      <w:pPr>
        <w:rPr>
          <w:rFonts w:hint="eastAsia" w:ascii="Times New Roman" w:hAnsi="Times New Roman" w:eastAsia="宋体"/>
          <w:b w:val="0"/>
          <w:sz w:val="24"/>
        </w:rPr>
      </w:pPr>
      <w:r>
        <w:rPr>
          <w:rFonts w:hint="eastAsia" w:ascii="Times New Roman" w:hAnsi="华文中宋" w:eastAsia="华文中宋"/>
          <w:b/>
          <w:color w:val="000000"/>
          <w:sz w:val="24"/>
          <w:szCs w:val="24"/>
          <w:lang w:eastAsia="zh-CN"/>
        </w:rPr>
        <w:drawing>
          <wp:anchor distT="0" distB="0" distL="114300" distR="114300" simplePos="0" relativeHeight="251659264" behindDoc="0" locked="0" layoutInCell="1" allowOverlap="1">
            <wp:simplePos x="0" y="0"/>
            <wp:positionH relativeFrom="column">
              <wp:posOffset>1012825</wp:posOffset>
            </wp:positionH>
            <wp:positionV relativeFrom="paragraph">
              <wp:posOffset>2832735</wp:posOffset>
            </wp:positionV>
            <wp:extent cx="3291840" cy="4653280"/>
            <wp:effectExtent l="0" t="0" r="0" b="10160"/>
            <wp:wrapTopAndBottom/>
            <wp:docPr id="5" name="图片 2" descr="成绩单 conv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成绩单 conv 1"/>
                    <pic:cNvPicPr>
                      <a:picLocks noChangeAspect="1"/>
                    </pic:cNvPicPr>
                  </pic:nvPicPr>
                  <pic:blipFill>
                    <a:blip r:embed="rId6"/>
                    <a:stretch>
                      <a:fillRect/>
                    </a:stretch>
                  </pic:blipFill>
                  <pic:spPr>
                    <a:xfrm>
                      <a:off x="0" y="0"/>
                      <a:ext cx="3291840" cy="4653280"/>
                    </a:xfrm>
                    <a:prstGeom prst="rect">
                      <a:avLst/>
                    </a:prstGeom>
                    <a:noFill/>
                    <a:ln>
                      <a:noFill/>
                    </a:ln>
                  </pic:spPr>
                </pic:pic>
              </a:graphicData>
            </a:graphic>
          </wp:anchor>
        </w:drawing>
      </w:r>
      <w:r>
        <w:rPr>
          <w:rFonts w:ascii="Times New Roman" w:hAnsi="Times New Roman" w:eastAsia="宋体"/>
          <w:b w:val="0"/>
          <w:sz w:val="24"/>
        </w:rPr>
        <w:t>在本学年中，我始终秉持严谨认真的学习态度，上课专心听讲，积极思考，课后高标准、高质量地完成各门课程老师布置的学习任务与科研训练。通过不懈努力，我的学业绩点达到</w:t>
      </w:r>
      <w:r>
        <w:rPr>
          <w:rFonts w:hint="eastAsia" w:ascii="Times New Roman" w:hAnsi="Times New Roman" w:eastAsia="宋体"/>
          <w:b w:val="0"/>
          <w:sz w:val="24"/>
          <w:lang w:val="en-US" w:eastAsia="zh-CN"/>
        </w:rPr>
        <w:t>1.74</w:t>
      </w:r>
      <w:r>
        <w:rPr>
          <w:rFonts w:ascii="Times New Roman" w:hAnsi="Times New Roman" w:eastAsia="宋体"/>
          <w:b w:val="0"/>
          <w:sz w:val="24"/>
        </w:rPr>
        <w:t>，在专业内排名第</w:t>
      </w:r>
      <w:r>
        <w:rPr>
          <w:rFonts w:hint="eastAsia" w:ascii="Times New Roman" w:hAnsi="Times New Roman" w:eastAsia="宋体"/>
          <w:b w:val="0"/>
          <w:sz w:val="24"/>
          <w:lang w:val="en-US" w:eastAsia="zh-CN"/>
        </w:rPr>
        <w:t>3</w:t>
      </w:r>
      <w:r>
        <w:rPr>
          <w:rFonts w:ascii="Times New Roman" w:hAnsi="Times New Roman" w:eastAsia="宋体"/>
          <w:b w:val="0"/>
          <w:sz w:val="24"/>
        </w:rPr>
        <w:t>3位，并荣获该年度的</w:t>
      </w:r>
      <w:r>
        <w:rPr>
          <w:rFonts w:hint="eastAsia" w:ascii="Times New Roman" w:hAnsi="Times New Roman" w:eastAsia="宋体"/>
          <w:b w:val="0"/>
          <w:sz w:val="24"/>
        </w:rPr>
        <w:t>三</w:t>
      </w:r>
      <w:r>
        <w:rPr>
          <w:rFonts w:ascii="Times New Roman" w:hAnsi="Times New Roman" w:eastAsia="宋体"/>
          <w:b w:val="0"/>
          <w:sz w:val="24"/>
        </w:rPr>
        <w:t>等奖学金。为更好地融入研究生阶段的科研环境，我在完成既定学习目标的同时，主动拓展学术视野，积极参与各类前沿学术活动，先后听取了多场高水平学术报告。这些经历显著提升了我对学科前沿的动态认知和理解</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并且</w:t>
      </w:r>
      <w:r>
        <w:rPr>
          <w:rFonts w:hint="eastAsia" w:ascii="Times New Roman" w:hAnsi="Times New Roman" w:eastAsia="宋体"/>
          <w:b w:val="0"/>
          <w:sz w:val="24"/>
          <w:lang w:eastAsia="zh-CN"/>
        </w:rPr>
        <w:t>系统学习了 3GPP 关于通感一体化（ISAC）信道建模与可行性的研究动态、ITU-R M.2160-0《2030 年及以后 IMT 发展的框架和总体目标》中 ISAC 作为六大场景之一的定义[1]，以及 H.264/AVC（ITU-T H.264）[2]、MPEG 传输流（ISO/IEC 13818-1）[3] 等视频传输相关标准。</w:t>
      </w:r>
      <w:r>
        <w:rPr>
          <w:rFonts w:hint="eastAsia" w:ascii="Times New Roman" w:hAnsi="Times New Roman" w:eastAsia="宋体"/>
          <w:b w:val="0"/>
          <w:sz w:val="24"/>
        </w:rPr>
        <w:t xml:space="preserve">完成开源 OFDM 通感一体化平台的部署与二次开发，搭建了 USRP N320（基站）+ USRP B210（用户设备）的无线收发链路，实现了实时 H.264 视频业务与雷达感知业务在同一 OFDM 波形上的并发运行。二次开发的核心工作是在原平台之上自主设计并实现了外层前向纠错（Reed-Solomon 外码）模块：原平台上行链路仅有 LDPC(1008,504) 内码，不含外码；本课题自行实现了 </w:t>
      </w:r>
      <w:r>
        <w:rPr>
          <w:rFonts w:hint="eastAsia" w:ascii="Times New Roman" w:hAnsi="Times New Roman" w:eastAsia="宋体"/>
          <w:b w:val="0"/>
          <w:sz w:val="24"/>
          <w:lang w:val="en-US" w:eastAsia="zh-CN"/>
        </w:rPr>
        <w:t xml:space="preserve"> </w:t>
      </w:r>
      <w:r>
        <w:rPr>
          <w:rFonts w:hint="eastAsia" w:ascii="Times New Roman" w:hAnsi="Times New Roman" w:eastAsia="宋体"/>
          <w:b w:val="0"/>
          <w:sz w:val="24"/>
        </w:rPr>
        <w:t>GF(2⁸) 域上的系统式 RS(255, K) 编解码器（含伴随式计算、Berlekamp-Massey、Chien 搜索与 Forney 算法），并将其级联至原 LDPC 编码链路，使平台具备"RS 外码 + LDPC 内码"的级联纠错能力。围绕该模块完成了外码冗余度扫描、容器脆弱性评估及多级缓冲队列优化等前期实验（详见第六节）。</w:t>
      </w:r>
    </w:p>
    <w:p w14:paraId="7FE49E81">
      <w:r>
        <w:rPr>
          <w:rFonts w:ascii="Times New Roman" w:hAnsi="Times New Roman" w:eastAsia="黑体"/>
          <w:b/>
          <w:sz w:val="28"/>
        </w:rPr>
        <w:t>二、论文选题背景、目的和意义</w:t>
      </w:r>
    </w:p>
    <w:p w14:paraId="261DB217">
      <w:r>
        <w:rPr>
          <w:rFonts w:ascii="Times New Roman" w:hAnsi="Times New Roman" w:eastAsia="黑体"/>
          <w:b/>
          <w:sz w:val="25"/>
        </w:rPr>
        <w:t>2.1 选题背景</w:t>
      </w:r>
    </w:p>
    <w:p w14:paraId="14A6DE62">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14:paraId="419126D2">
      <w:pPr>
        <w:ind w:firstLine="480"/>
      </w:pPr>
      <w:r>
        <w:rPr>
          <w:rFonts w:ascii="Times New Roman" w:hAnsi="Times New Roman" w:eastAsia="宋体"/>
          <w:b w:val="0"/>
          <w:sz w:val="24"/>
        </w:rPr>
        <w:t>在 ISAC 链路可承载的各类业务中，</w:t>
      </w:r>
      <w:r>
        <w:rPr>
          <w:rFonts w:ascii="Times New Roman" w:hAnsi="Times New Roman" w:eastAsia="宋体"/>
          <w:b w:val="0"/>
          <w:bCs/>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14:paraId="015EF7BB">
      <w:pPr>
        <w:ind w:firstLine="480"/>
      </w:pPr>
      <w:r>
        <w:rPr>
          <w:rFonts w:ascii="Times New Roman" w:hAnsi="Times New Roman" w:eastAsia="宋体"/>
          <w:b w:val="0"/>
          <w:sz w:val="24"/>
        </w:rPr>
        <w:t>与此同时，ISAC 的"感"侧能力——特别是对人体的非接触微动感知（呼吸 0.1–0.5 Hz、心跳 0.8–2.0 Hz 引起的毫米级体动）——是当前学术界与产业界共同关注的热点</w:t>
      </w:r>
      <w:r>
        <w:rPr>
          <w:rFonts w:ascii="Times New Roman" w:hAnsi="Times New Roman" w:eastAsia="宋体"/>
          <w:b w:val="0"/>
          <w:sz w:val="24"/>
          <w:vertAlign w:val="superscript"/>
        </w:rPr>
        <w:t>[3][4][25]</w:t>
      </w:r>
      <w:r>
        <w:rPr>
          <w:rFonts w:ascii="Times New Roman" w:hAnsi="Times New Roman" w:eastAsia="宋体"/>
          <w:b w:val="0"/>
          <w:sz w:val="24"/>
        </w:rPr>
        <w:t>。若能在承载视频业务的同一波形上实现微动感知，即可在一条链路上同时验证"通"与"感"双功能，为老人看护、应急搜救等应用提供低成本方案。</w:t>
      </w:r>
    </w:p>
    <w:p w14:paraId="3FDA202A">
      <w:pPr>
        <w:ind w:firstLine="480"/>
      </w:pPr>
      <w:r>
        <w:rPr>
          <w:rFonts w:ascii="Times New Roman" w:hAnsi="Times New Roman" w:eastAsia="宋体"/>
          <w:b w:val="0"/>
          <w:bCs/>
          <w:sz w:val="24"/>
        </w:rPr>
        <w:t>本课题的核心约束与耦合关系：需特别强调的是，本研究并非简单叠加两个独立课题，而是基于一个物理事实——视频帧结构与感知相参积累必须共享同一波形的时间轴。具体而言：（1）视频分组帧界为感知快拍采样提供时间格点——H.264 GOP 边界（典型 1.5 秒）决定了感知慢时间序列的可用采样窗，这是"通"的帧结构约束"感"的采样自由度；（2）感知相参积累窗长反向约束业务切换时机——要达到 0.11 Hz 多普勒分辨率需约 9.4 秒观测窗（研究内容 3 关键参数），在此期间物理层参数（如码率/调制）不可切换，否则相位相参被破坏，这是"感"的相</w:t>
      </w:r>
      <w:r>
        <w:rPr>
          <w:rFonts w:ascii="Times New Roman" w:hAnsi="Times New Roman" w:eastAsia="宋体"/>
          <w:b w:val="0"/>
          <w:sz w:val="24"/>
        </w:rPr>
        <w:t>参要求</w:t>
      </w:r>
      <w:r>
        <w:rPr>
          <w:rFonts w:ascii="Times New Roman" w:hAnsi="Times New Roman" w:eastAsia="宋体"/>
          <w:b w:val="0"/>
          <w:bCs w:val="0"/>
          <w:sz w:val="24"/>
        </w:rPr>
        <w:t>约束"通"的自适应灵活性。这一双向耦合关系使两个研究内容必须在统一的波形帧结构设计框架下展开，详见 4.3 节。</w:t>
      </w:r>
    </w:p>
    <w:p w14:paraId="1EBDD302">
      <w:r>
        <w:rPr>
          <w:rFonts w:ascii="Times New Roman" w:hAnsi="Times New Roman" w:eastAsia="黑体"/>
          <w:b/>
          <w:sz w:val="25"/>
        </w:rPr>
        <w:t>2.2 研究目的</w:t>
      </w:r>
    </w:p>
    <w:p w14:paraId="0B6B2E85">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在承载通信业务的同时，能否以及如何从同一波形中提取人体微动信息，实现非接触生命体征感知。系统总体拓扑如图 1 所示。</w:t>
      </w:r>
    </w:p>
    <w:p w14:paraId="1FBBD1F2">
      <w:pPr>
        <w:jc w:val="center"/>
      </w:pPr>
      <w:r>
        <w:drawing>
          <wp:inline distT="0" distB="0" distL="114300" distR="114300">
            <wp:extent cx="5669280" cy="1889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69280" cy="1889760"/>
                    </a:xfrm>
                    <a:prstGeom prst="rect">
                      <a:avLst/>
                    </a:prstGeom>
                  </pic:spPr>
                </pic:pic>
              </a:graphicData>
            </a:graphic>
          </wp:inline>
        </w:drawing>
      </w:r>
    </w:p>
    <w:p w14:paraId="0AAE5F4F">
      <w:pPr>
        <w:ind w:firstLine="480"/>
        <w:rPr>
          <w:sz w:val="21"/>
          <w:szCs w:val="21"/>
        </w:rPr>
      </w:pPr>
      <w:r>
        <w:rPr>
          <w:rFonts w:ascii="Times New Roman" w:hAnsi="Times New Roman" w:eastAsia="宋体"/>
          <w:b/>
          <w:sz w:val="21"/>
          <w:szCs w:val="21"/>
        </w:rPr>
        <w:t>图 1　OpenISAC 平台上实时视频传输与雷达感知的系统拓扑</w:t>
      </w:r>
    </w:p>
    <w:p w14:paraId="2C598460">
      <w:r>
        <w:rPr>
          <w:rFonts w:ascii="Times New Roman" w:hAnsi="Times New Roman" w:eastAsia="黑体"/>
          <w:b/>
          <w:sz w:val="25"/>
        </w:rPr>
        <w:t>2.3 研究意义</w:t>
      </w:r>
    </w:p>
    <w:p w14:paraId="716A590B">
      <w:pPr>
        <w:ind w:firstLine="480"/>
      </w:pPr>
      <w:r>
        <w:rPr>
          <w:rFonts w:ascii="Times New Roman" w:hAnsi="Times New Roman" w:eastAsia="宋体"/>
          <w:b/>
          <w:sz w:val="24"/>
        </w:rPr>
        <w:t>理论意义</w:t>
      </w:r>
      <w:r>
        <w:rPr>
          <w:rFonts w:ascii="Times New Roman" w:hAnsi="Times New Roman" w:eastAsia="宋体"/>
          <w:b w:val="0"/>
          <w:sz w:val="24"/>
        </w:rPr>
        <w:t>：现有 ISAC 实验研究多聚焦感知估计精度或链路级吞吐，缺少对"连续媒体业务"在真实 ISAC 链路上端到端行为的系统测量与建模。本课题提出的容器误码放大模型与"最轻量充分纠错"设计原则，为强编码链路上的实时媒体业务设计提供了可复用的分析框架。</w:t>
      </w:r>
    </w:p>
    <w:p w14:paraId="2F267C59">
      <w:pPr>
        <w:ind w:firstLine="480"/>
      </w:pPr>
      <w:r>
        <w:rPr>
          <w:rFonts w:ascii="Times New Roman" w:hAnsi="Times New Roman" w:eastAsia="宋体"/>
          <w:b/>
          <w:sz w:val="24"/>
        </w:rPr>
        <w:t>工程与应用意义</w:t>
      </w:r>
      <w:r>
        <w:rPr>
          <w:rFonts w:ascii="Times New Roman" w:hAnsi="Times New Roman" w:eastAsia="宋体"/>
          <w:b w:val="0"/>
          <w:sz w:val="24"/>
        </w:rPr>
        <w:t>：本课题全部实验在开源平台上完成，方法与结论可直接指导低成本 ISAC 原型系统的工程部署；研究点 1 的成果已整理为英文论文（已完成</w:t>
      </w:r>
      <w:r>
        <w:rPr>
          <w:rFonts w:hint="eastAsia"/>
          <w:b w:val="0"/>
          <w:sz w:val="24"/>
          <w:lang w:val="en-US" w:eastAsia="zh-CN"/>
        </w:rPr>
        <w:t>初稿</w:t>
      </w:r>
      <w:r>
        <w:rPr>
          <w:rFonts w:ascii="Times New Roman" w:hAnsi="Times New Roman" w:eastAsia="宋体"/>
          <w:b w:val="0"/>
          <w:sz w:val="24"/>
        </w:rPr>
        <w:t>撰写）；研究点 3 面向智慧健康监测场景，符合专业学位"应用研究类"论文的定位。</w:t>
      </w:r>
    </w:p>
    <w:p w14:paraId="7B5AFDD6">
      <w:r>
        <w:rPr>
          <w:rFonts w:ascii="Times New Roman" w:hAnsi="Times New Roman" w:eastAsia="黑体"/>
          <w:b/>
          <w:sz w:val="28"/>
        </w:rPr>
        <w:t>三、国内外研究现状及发展动态分析</w:t>
      </w:r>
    </w:p>
    <w:p w14:paraId="73BEBFB9">
      <w:r>
        <w:rPr>
          <w:rFonts w:ascii="Times New Roman" w:hAnsi="Times New Roman" w:eastAsia="黑体"/>
          <w:b/>
          <w:sz w:val="25"/>
        </w:rPr>
        <w:t>3.1 ISAC 平台与空口实验</w:t>
      </w:r>
    </w:p>
    <w:p w14:paraId="04CF6885">
      <w:pPr>
        <w:ind w:firstLine="480"/>
        <w:rPr>
          <w:b w:val="0"/>
          <w:bCs w:val="0"/>
        </w:rPr>
      </w:pPr>
      <w:r>
        <w:rPr>
          <w:rFonts w:ascii="Times New Roman" w:hAnsi="Times New Roman" w:eastAsia="宋体"/>
          <w:b w:val="0"/>
          <w:bCs w:val="0"/>
          <w:sz w:val="24"/>
        </w:rPr>
        <w:t>OFDM 波形融合通信与雷达感知的处理框架由 Sturm 与 Wiesbeck 系统建立</w:t>
      </w:r>
      <w:r>
        <w:rPr>
          <w:rFonts w:ascii="Times New Roman" w:hAnsi="Times New Roman" w:eastAsia="宋体"/>
          <w:b w:val="0"/>
          <w:bCs w:val="0"/>
          <w:sz w:val="24"/>
          <w:vertAlign w:val="superscript"/>
        </w:rPr>
        <w:t>[4]</w:t>
      </w:r>
      <w:r>
        <w:rPr>
          <w:rFonts w:ascii="Times New Roman" w:hAnsi="Times New Roman" w:eastAsia="宋体"/>
          <w:b w:val="0"/>
          <w:bCs w:val="0"/>
          <w:sz w:val="24"/>
        </w:rPr>
        <w:t>。此后 ISAC 理论研究迅速展开：Liu 等系统综述了双功能无线网络的波形与系统设计</w:t>
      </w:r>
      <w:r>
        <w:rPr>
          <w:rFonts w:ascii="Times New Roman" w:hAnsi="Times New Roman" w:eastAsia="宋体"/>
          <w:b w:val="0"/>
          <w:bCs w:val="0"/>
          <w:sz w:val="24"/>
          <w:vertAlign w:val="superscript"/>
        </w:rPr>
        <w:t>[5]</w:t>
      </w:r>
      <w:r>
        <w:rPr>
          <w:rFonts w:ascii="Times New Roman" w:hAnsi="Times New Roman" w:eastAsia="宋体"/>
          <w:b w:val="0"/>
          <w:bCs w:val="0"/>
          <w:sz w:val="24"/>
        </w:rPr>
        <w:t>；Wei 等面向 5G-A/6G 综述了 ISAC 信号设计</w:t>
      </w:r>
      <w:r>
        <w:rPr>
          <w:rFonts w:ascii="Times New Roman" w:hAnsi="Times New Roman" w:eastAsia="宋体"/>
          <w:b w:val="0"/>
          <w:bCs w:val="0"/>
          <w:sz w:val="24"/>
          <w:vertAlign w:val="superscript"/>
        </w:rPr>
        <w:t>[6]</w:t>
      </w:r>
      <w:r>
        <w:rPr>
          <w:rFonts w:ascii="Times New Roman" w:hAnsi="Times New Roman" w:eastAsia="宋体"/>
          <w:b w:val="0"/>
          <w:bCs w:val="0"/>
          <w:sz w:val="24"/>
        </w:rPr>
        <w:t>；Kaushik 等从标准化视角梳理了 ITU-R 与 3GPP 的推进路径</w:t>
      </w:r>
      <w:r>
        <w:rPr>
          <w:rFonts w:ascii="Times New Roman" w:hAnsi="Times New Roman" w:eastAsia="宋体"/>
          <w:b w:val="0"/>
          <w:bCs w:val="0"/>
          <w:sz w:val="24"/>
          <w:vertAlign w:val="superscript"/>
        </w:rPr>
        <w:t>[7]</w:t>
      </w:r>
      <w:r>
        <w:rPr>
          <w:rFonts w:ascii="Times New Roman" w:hAnsi="Times New Roman" w:eastAsia="宋体"/>
          <w:b w:val="0"/>
          <w:bCs w:val="0"/>
          <w:sz w:val="24"/>
        </w:rPr>
        <w:t>；国内方面，徐金雷等从多维扩展角度系统梳理了 6G 通感一体化的演进脉络</w:t>
      </w:r>
      <w:r>
        <w:rPr>
          <w:rFonts w:ascii="Times New Roman" w:hAnsi="Times New Roman" w:eastAsia="宋体"/>
          <w:b w:val="0"/>
          <w:bCs w:val="0"/>
          <w:sz w:val="24"/>
          <w:vertAlign w:val="superscript"/>
        </w:rPr>
        <w:t>[8]</w:t>
      </w:r>
      <w:r>
        <w:rPr>
          <w:rFonts w:ascii="Times New Roman" w:hAnsi="Times New Roman" w:eastAsia="宋体"/>
          <w:b w:val="0"/>
          <w:bCs w:val="0"/>
          <w:sz w:val="24"/>
        </w:rPr>
        <w:t>，尉志青等探讨了高频段（太赫兹）通感一体化波形的设计挑战</w:t>
      </w:r>
      <w:r>
        <w:rPr>
          <w:rFonts w:ascii="Times New Roman" w:hAnsi="Times New Roman" w:eastAsia="宋体"/>
          <w:b w:val="0"/>
          <w:bCs w:val="0"/>
          <w:sz w:val="24"/>
          <w:vertAlign w:val="superscript"/>
        </w:rPr>
        <w:t>[9]</w:t>
      </w:r>
      <w:r>
        <w:rPr>
          <w:rFonts w:ascii="Times New Roman" w:hAnsi="Times New Roman" w:eastAsia="宋体"/>
          <w:b w:val="0"/>
          <w:bCs w:val="0"/>
          <w:sz w:val="24"/>
        </w:rPr>
        <w:t>。相比理论的繁荣，空口实时实验长期是短板。近年开源平台开始填补该空白：Brunner 等实现了双站 ISAC 的空口同步</w:t>
      </w:r>
      <w:r>
        <w:rPr>
          <w:rFonts w:ascii="Times New Roman" w:hAnsi="Times New Roman" w:eastAsia="宋体"/>
          <w:b w:val="0"/>
          <w:bCs w:val="0"/>
          <w:sz w:val="24"/>
          <w:vertAlign w:val="superscript"/>
        </w:rPr>
        <w:t>[10]</w:t>
      </w:r>
      <w:r>
        <w:rPr>
          <w:rFonts w:ascii="Times New Roman" w:hAnsi="Times New Roman" w:eastAsia="宋体"/>
          <w:b w:val="0"/>
          <w:bCs w:val="0"/>
          <w:sz w:val="24"/>
        </w:rPr>
        <w:t>；Zhou 等（东南大学）发布 OpenISAC——支持单/双站感知、YAML 运行时配置、USRP 硬件生态的开源实时 OFDM-ISAC 平台</w:t>
      </w:r>
      <w:r>
        <w:rPr>
          <w:rFonts w:ascii="Times New Roman" w:hAnsi="Times New Roman" w:eastAsia="宋体"/>
          <w:b w:val="0"/>
          <w:bCs w:val="0"/>
          <w:sz w:val="24"/>
          <w:vertAlign w:val="superscript"/>
        </w:rPr>
        <w:t>[11]</w:t>
      </w:r>
      <w:r>
        <w:rPr>
          <w:rFonts w:ascii="Times New Roman" w:hAnsi="Times New Roman" w:eastAsia="宋体"/>
          <w:b w:val="0"/>
          <w:bCs w:val="0"/>
          <w:sz w:val="24"/>
        </w:rPr>
        <w:t>；Rahman 等提出了感知移动网络（Perceptive Mobile Network）框架，把蜂窝网络作为感知传感器网络</w:t>
      </w:r>
      <w:r>
        <w:rPr>
          <w:rFonts w:ascii="Times New Roman" w:hAnsi="Times New Roman" w:eastAsia="宋体"/>
          <w:b w:val="0"/>
          <w:bCs w:val="0"/>
          <w:sz w:val="24"/>
          <w:vertAlign w:val="superscript"/>
        </w:rPr>
        <w:t>[12]</w:t>
      </w:r>
      <w:r>
        <w:rPr>
          <w:rFonts w:ascii="Times New Roman" w:hAnsi="Times New Roman" w:eastAsia="宋体"/>
          <w:b w:val="0"/>
          <w:bCs w:val="0"/>
          <w:sz w:val="24"/>
        </w:rPr>
        <w:t>。</w:t>
      </w:r>
    </w:p>
    <w:p w14:paraId="75A98A14">
      <w:pPr>
        <w:ind w:firstLine="480"/>
        <w:rPr>
          <w:b w:val="0"/>
          <w:bCs w:val="0"/>
        </w:rPr>
      </w:pPr>
      <w:r>
        <w:rPr>
          <w:rFonts w:ascii="Times New Roman" w:hAnsi="Times New Roman" w:eastAsia="宋体"/>
          <w:b w:val="0"/>
          <w:bCs w:val="0"/>
          <w:sz w:val="24"/>
        </w:rPr>
        <w:t>现有不足：上述平台的评估对象是感知精度与链路吞吐，均未研究"连续媒体业务"（尤其是实时视频）在真实 ISAC 链路上的端到端表现——容器封装、解码器行为与缓冲设计仍是不被审视的工程默认值。</w:t>
      </w:r>
    </w:p>
    <w:p w14:paraId="785E6581">
      <w:r>
        <w:rPr>
          <w:rFonts w:ascii="Times New Roman" w:hAnsi="Times New Roman" w:eastAsia="黑体"/>
          <w:b/>
          <w:sz w:val="25"/>
        </w:rPr>
        <w:t>3.2 无线视频传输与跨层设计</w:t>
      </w:r>
    </w:p>
    <w:p w14:paraId="4127827F">
      <w:pPr>
        <w:ind w:firstLine="480"/>
      </w:pPr>
      <w:r>
        <w:rPr>
          <w:rFonts w:ascii="Times New Roman" w:hAnsi="Times New Roman" w:eastAsia="宋体"/>
          <w:b w:val="0"/>
          <w:sz w:val="24"/>
        </w:rPr>
        <w:t>无线视频的抗误码传输已有大量研究：Immich 等综述了弹性视频传输机制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14:paraId="0B5C46F5">
      <w:pPr>
        <w:ind w:firstLine="480"/>
        <w:rPr>
          <w:b w:val="0"/>
          <w:bCs/>
        </w:rPr>
      </w:pPr>
      <w:r>
        <w:rPr>
          <w:rFonts w:ascii="Times New Roman" w:hAnsi="Times New Roman" w:eastAsia="宋体"/>
          <w:b w:val="0"/>
          <w:bCs/>
          <w:sz w:val="24"/>
        </w:rPr>
        <w:t>现有不足：这些工作大多假设物理层给定或抽象为包删除信道，优化空间局限于应用层；而 ISAC 原型平台的物理层恰恰是可配置的——外码强度、导频密度、循环前缀均可调整。"强编码物理层之上的视频业务还需要多少保护、保护应加在哪一层"这一问题，尚无基于实测的系统回答。</w:t>
      </w:r>
    </w:p>
    <w:p w14:paraId="7A8C26C9">
      <w:r>
        <w:rPr>
          <w:rFonts w:ascii="Times New Roman" w:hAnsi="Times New Roman" w:eastAsia="黑体"/>
          <w:b/>
          <w:sz w:val="25"/>
        </w:rPr>
        <w:t>3.3 级联信道编码与残留误码处理</w:t>
      </w:r>
    </w:p>
    <w:p w14:paraId="76F92EB2">
      <w:pPr>
        <w:ind w:firstLine="480"/>
      </w:pPr>
      <w:r>
        <w:rPr>
          <w:rFonts w:ascii="Times New Roman" w:hAnsi="Times New Roman" w:eastAsia="宋体"/>
          <w:b w:val="0"/>
          <w:bCs w:val="0"/>
          <w:sz w:val="24"/>
        </w:rPr>
        <w:t>针对突发与残留错误，RS 外码 + 内码（卷积码/LDPC）的级联结构是经典方案</w:t>
      </w:r>
      <w:r>
        <w:rPr>
          <w:rFonts w:ascii="Times New Roman" w:hAnsi="Times New Roman" w:eastAsia="宋体"/>
          <w:b w:val="0"/>
          <w:bCs w:val="0"/>
          <w:sz w:val="24"/>
          <w:vertAlign w:val="superscript"/>
        </w:rPr>
        <w:t>[19]</w:t>
      </w:r>
      <w:r>
        <w:rPr>
          <w:rFonts w:ascii="Times New Roman" w:hAnsi="Times New Roman" w:eastAsia="宋体"/>
          <w:b w:val="0"/>
          <w:bCs w:val="0"/>
          <w:sz w:val="24"/>
        </w:rPr>
        <w:t>。传统设计按建模的最坏情况确定外码强度。本课题前期实验（已闭环）表明：在 QPSK/强 LDPC 的真实链路上，LDPC 残差错极稀疏——在累计约 5×10⁸ bit 的观测窗口内未观测到稳态纠错事件，据此可将残差等效误码率上界约束在 10⁻⁹ 量级，最轻量 RS(255,223) 外码在稳态下从未触发纠错，说明按最坏情况设计的外码存在显著冗余浪费。如何依据实测残差统计而非模型假设来配置外码，并进一步依据信道状态自适应切换码率，是级联编码在 ISAC 场景下的新</w:t>
      </w:r>
      <w:r>
        <w:rPr>
          <w:rFonts w:ascii="Times New Roman" w:hAnsi="Times New Roman" w:eastAsia="宋体"/>
          <w:b w:val="0"/>
          <w:sz w:val="24"/>
        </w:rPr>
        <w:t>问题。</w:t>
      </w:r>
      <w:r>
        <w:rPr>
          <w:rFonts w:ascii="Times New Roman" w:hAnsi="Times New Roman"/>
          <w:b w:val="0"/>
          <w:sz w:val="24"/>
        </w:rPr>
        <w:t>需强调，上述“零纠错”是统计上界而非零：约 5×10⁸ bit 观测窗内零事件，对应 95% 置信上界约 6×10⁻⁹，在 1.2 Mbps 下折合“每十余分钟一次残留比特错误”，而单个残留比特即可破坏一个 GOP（1.5 s 花屏）；且内码译码器不返回收敛标志、亦无逐码字校验，其误纠对上层呈现为静默错误。故外码在级联结构中的定位是瞬态与衰落条件下的兜底与检测，而非稳态可靠性；其作用的边界（何时开始产生纠正）需在本课题研究内容 2 中定量刻画。</w:t>
      </w:r>
    </w:p>
    <w:p w14:paraId="0E111E42">
      <w:r>
        <w:rPr>
          <w:rFonts w:ascii="Times New Roman" w:hAnsi="Times New Roman" w:eastAsia="黑体"/>
          <w:b/>
          <w:sz w:val="25"/>
        </w:rPr>
        <w:t>3.4 ISAC 人体感知与生命体征监测</w:t>
      </w:r>
    </w:p>
    <w:p w14:paraId="2E90D0A7">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 等的感知移动网络框架亦把人体作为感知对象</w:t>
      </w:r>
      <w:r>
        <w:rPr>
          <w:rFonts w:ascii="Times New Roman" w:hAnsi="Times New Roman" w:eastAsia="宋体"/>
          <w:b w:val="0"/>
          <w:sz w:val="24"/>
          <w:vertAlign w:val="superscript"/>
        </w:rPr>
        <w:t>[12]</w:t>
      </w:r>
      <w:r>
        <w:rPr>
          <w:rFonts w:ascii="Times New Roman" w:hAnsi="Times New Roman" w:eastAsia="宋体"/>
          <w:b w:val="0"/>
          <w:sz w:val="24"/>
        </w:rPr>
        <w:t>。</w:t>
      </w:r>
    </w:p>
    <w:p w14:paraId="1A40AF8B">
      <w:pPr>
        <w:ind w:firstLine="480"/>
        <w:rPr>
          <w:b w:val="0"/>
          <w:bCs/>
        </w:rPr>
      </w:pPr>
      <w:r>
        <w:rPr>
          <w:rFonts w:ascii="Times New Roman" w:hAnsi="Times New Roman" w:eastAsia="宋体"/>
          <w:b w:val="0"/>
          <w:bCs/>
          <w:sz w:val="24"/>
        </w:rPr>
        <w:t>现有不足与机会：现有生命体征感知多基于专用雷达硬件或商用 Wi-Fi 芯片；在承载实时业务的开源 OFDM-ISAC 平台上、利用通信解调链路已有的相位信息做微动提取的研究仍然很少。这既是本课题研究点 3 的切入点，其平台基础（相位测量、帧级相参处理）又已在研究点 1 中就绪。</w:t>
      </w:r>
    </w:p>
    <w:p w14:paraId="77E8EF1A">
      <w:r>
        <w:rPr>
          <w:rFonts w:ascii="Times New Roman" w:hAnsi="Times New Roman" w:eastAsia="黑体"/>
          <w:b/>
          <w:sz w:val="28"/>
        </w:rPr>
        <w:t>四、主要研究内容、研究目标、拟解决的关键问题</w:t>
      </w:r>
    </w:p>
    <w:p w14:paraId="0105BD72">
      <w:r>
        <w:rPr>
          <w:rFonts w:ascii="Times New Roman" w:hAnsi="Times New Roman" w:eastAsia="黑体"/>
          <w:b/>
          <w:sz w:val="25"/>
        </w:rPr>
        <w:t>4.1 研究目标（总）</w:t>
      </w:r>
    </w:p>
    <w:p w14:paraId="24076071">
      <w:pPr>
        <w:ind w:firstLine="480"/>
      </w:pPr>
      <w:r>
        <w:rPr>
          <w:rFonts w:ascii="Times New Roman" w:hAnsi="Times New Roman" w:eastAsia="宋体"/>
          <w:b w:val="0"/>
          <w:sz w:val="24"/>
        </w:rPr>
        <w:t>以开源 OpenISAC 平台为试验载体，建立"强编码 OFDM-ISAC 链路上实时视频业务 + 人体微动感知"的跨层设计与实验方法体系：形成一套经实测验证的视频传输跨层优化方案、一种信道自适应的可靠传输机制，以及一种基于通信波形相参相位的非接触微动感知方法。</w:t>
      </w:r>
    </w:p>
    <w:p w14:paraId="6443508A">
      <w:r>
        <w:rPr>
          <w:rFonts w:ascii="Times New Roman" w:hAnsi="Times New Roman" w:eastAsia="黑体"/>
          <w:b/>
          <w:sz w:val="25"/>
        </w:rPr>
        <w:t>4.2 主要研究内容</w:t>
      </w:r>
    </w:p>
    <w:p w14:paraId="5CA16E68">
      <w:pPr>
        <w:ind w:firstLine="480"/>
      </w:pPr>
      <w:r>
        <w:rPr>
          <w:rFonts w:ascii="Times New Roman" w:hAnsi="Times New Roman" w:eastAsia="宋体"/>
          <w:b/>
          <w:sz w:val="24"/>
        </w:rPr>
        <w:t>研究内容 1：强编码 ISAC 链路上实时视频传输的跨层优化（已基本完成，收尾整理中）</w:t>
      </w:r>
    </w:p>
    <w:p w14:paraId="2DAC407E">
      <w:pPr>
        <w:ind w:firstLine="480"/>
        <w:rPr>
          <w:b w:val="0"/>
          <w:bCs/>
        </w:rPr>
      </w:pPr>
      <w:r>
        <w:rPr>
          <w:rFonts w:ascii="Times New Roman" w:hAnsi="Times New Roman" w:eastAsia="宋体"/>
          <w:b w:val="0"/>
          <w:bCs/>
          <w:sz w:val="24"/>
        </w:rPr>
        <w:t>现有不足与本研究创新点：现有 ISAC 实验平台（包括 OpenISAC</w:t>
      </w:r>
      <w:r>
        <w:rPr>
          <w:rFonts w:ascii="Times New Roman" w:hAnsi="Times New Roman" w:eastAsia="宋体"/>
          <w:b w:val="0"/>
          <w:bCs/>
          <w:sz w:val="24"/>
          <w:vertAlign w:val="superscript"/>
        </w:rPr>
        <w:t>[11]</w:t>
      </w:r>
      <w:r>
        <w:rPr>
          <w:rFonts w:ascii="Times New Roman" w:hAnsi="Times New Roman" w:eastAsia="宋体"/>
          <w:b w:val="0"/>
          <w:bCs/>
          <w:sz w:val="24"/>
        </w:rPr>
        <w:t>、Brunner 等双站系统</w:t>
      </w:r>
      <w:r>
        <w:rPr>
          <w:rFonts w:ascii="Times New Roman" w:hAnsi="Times New Roman" w:eastAsia="宋体"/>
          <w:b w:val="0"/>
          <w:bCs/>
          <w:sz w:val="24"/>
          <w:vertAlign w:val="superscript"/>
        </w:rPr>
        <w:t>[10]</w:t>
      </w:r>
      <w:r>
        <w:rPr>
          <w:rFonts w:ascii="Times New Roman" w:hAnsi="Times New Roman" w:eastAsia="宋体"/>
          <w:b w:val="0"/>
          <w:bCs/>
          <w:sz w:val="24"/>
        </w:rPr>
        <w:t>）的评估均以感知精度或链路吞吐为指标，无一研究连续媒体业务在真实 ISAC 链路上的端到端表现。本研究是首个对 ISAC 链路上视频容器放大因子 γ 进行系统实测并建模的工作，也是首个基于实测 LDPC 残差统计（而非信道模型假设）确定外码最小充分配置的工作。</w:t>
      </w:r>
    </w:p>
    <w:p w14:paraId="21FC4D1A">
      <w:pPr>
        <w:ind w:firstLine="480"/>
        <w:rPr>
          <w:b w:val="0"/>
          <w:bCs w:val="0"/>
        </w:rPr>
      </w:pPr>
      <w:r>
        <w:rPr>
          <w:rFonts w:ascii="Times New Roman" w:hAnsi="Times New Roman" w:eastAsia="宋体"/>
          <w:b w:val="0"/>
          <w:bCs/>
          <w:sz w:val="24"/>
        </w:rPr>
        <w:t>- RS 外码模块的自主设计与实现：在原平台仅含 LDPC 内码的编码链路上，自主实现 GF(2⁸) 域系统式 RS(255, K) 编解码器（本原多项式 0x11D；伴随式计算 + Berlekamp-Massey + Chien 搜索 + Forney 算法），支持可变长 UDP 载荷（前置 2 字节长度前缀）并级联至 LDPC(1008,504) 内码，形成"RS 外码 + LDPC 内码"的级</w:t>
      </w:r>
      <w:r>
        <w:rPr>
          <w:rFonts w:ascii="Times New Roman" w:hAnsi="Times New Roman" w:eastAsia="宋体"/>
          <w:b w:val="0"/>
          <w:bCs w:val="0"/>
          <w:sz w:val="24"/>
        </w:rPr>
        <w:t>联纠错结构。码参数 K 以编译期常量方式配置，四档配置通过修改常量并重新编译依次获得。</w:t>
      </w:r>
    </w:p>
    <w:p w14:paraId="21FC4D1A">
      <w:pPr>
        <w:ind w:firstLine="480"/>
        <w:rPr>
          <w:b w:val="0"/>
          <w:bCs w:val="0"/>
        </w:rPr>
      </w:pPr>
      <w:r>
        <w:rPr>
          <w:rFonts w:ascii="Times New Roman" w:hAnsi="Times New Roman" w:eastAsia="宋体"/>
          <w:b w:val="0"/>
          <w:bCs/>
          <w:sz w:val="24"/>
        </w:rPr>
        <w:t>- 接收侧级联译码链的设计与实现：外码的引入同时要求接收链路补上对应的译码级。本课题在解调器中实现了“解交织/软解扰 → LDPC 内码软译码 → RS 外码译码 → 载荷还原”的级联译码流：(1) 译码顺序与符号对齐——外码每个 GF(2⁸) 符号由内码译出的 8 个比特组成，故必须先完成 LDPC 软译码再进入 RS 译码；接收侧按 N=255 字节整块逐块译码，块边界不整即判失败。(2) 三级不可纠判决——伴随式全零判为无错；Berlekamp-Massey 得到的多项式次数超过纠错能力 T 判为不可纠；Chien 搜索根数与次数不符判为不可纠（抑制误纠）。任一码块不可纠则整包判失败。(3) 失败回退——RS 判不可纠时采取“不丢包、降级投递”：以 LDPC 硬判决输出的前 payload_len 字节直送视频解码器，交由 H.264 容错解码器遮错；因此本文的失败统计口径明确为 RS 不可纠率（fail_rate），而非画面丢失率。(4) 载荷边界还原——原始载荷长度以 2 字节前缀随数据一并受 RS 保护，译码后依前缀截取，从而在零填充分块下正确还原变长 UDP 载荷；头部另设重复区对长度字段做一致性校验，不一致则丢弃该帧。</w:t>
      </w:r>
      <w:r>
        <w:rPr>
          <w:rFonts w:ascii="Times New Roman" w:hAnsi="Times New Roman" w:eastAsia="宋体"/>
          <w:b w:val="0"/>
          <w:bCs w:val="0"/>
          <w:sz w:val="24"/>
        </w:rPr>
      </w:r>
    </w:p>
    <w:p w14:paraId="21FC4D1A">
      <w:pPr>
        <w:ind w:firstLine="480"/>
        <w:rPr>
          <w:b w:val="0"/>
          <w:bCs w:val="0"/>
        </w:rPr>
      </w:pPr>
      <w:r>
        <w:rPr>
          <w:rFonts w:ascii="Times New Roman" w:hAnsi="Times New Roman" w:eastAsia="宋体"/>
          <w:b w:val="0"/>
          <w:bCs/>
          <w:sz w:val="24"/>
        </w:rPr>
        <w:t>需特别指出：内码译码器既不返回收敛标志、也无逐码字校验，其误纠对上层是静默的——RS 译码器的伴随式因此是本链路唯一的在带内残差判据，兼具检测与纠错双重职能。这也是本研究必须在平台上引入外码（而非仅依赖强内码）的根本技术理由。</w:t>
      </w:r>
      <w:r>
        <w:rPr>
          <w:rFonts w:ascii="Times New Roman" w:hAnsi="Times New Roman" w:eastAsia="宋体"/>
          <w:b w:val="0"/>
          <w:bCs w:val="0"/>
          <w:sz w:val="24"/>
        </w:rPr>
      </w:r>
    </w:p>
    <w:p w14:paraId="361DBB16">
      <w:pPr>
        <w:ind w:firstLine="480"/>
        <w:rPr>
          <w:b w:val="0"/>
          <w:bCs w:val="0"/>
        </w:rPr>
      </w:pPr>
      <w:r>
        <w:rPr>
          <w:rFonts w:ascii="Times New Roman" w:hAnsi="Times New Roman" w:eastAsia="宋体"/>
          <w:b w:val="0"/>
          <w:bCs w:val="0"/>
          <w:sz w:val="24"/>
        </w:rPr>
        <w:t>- 外码冗余的 Pareto 分析：对上述四档配置（K=223/207/191/179，冗余 14.3%–42.5%）在真实空口链路上进行系统扫描。已验证：稳态下全部配置零纠错事件，唯一失败事件出现于接收机启动同步锁定瞬态，与 RS 纠错能力无关；RS(255,223)（16 字节纠错）为 Pareto 最优，较前期部署的 RS(255,191) 有效载荷吞吐提升约 8.4%。该结论揭示了一个可迁移的设计准则：在 LDPC 内码已足够强的级联链路中，外码只需"覆盖内码残差上界的最小充分能力"，而非按最坏情况取最强配置。</w:t>
      </w:r>
      <w:r>
        <w:rPr>
          <w:rFonts w:ascii="Times New Roman" w:hAnsi="Times New Roman"/>
          <w:b w:val="0"/>
          <w:sz w:val="24"/>
        </w:rPr>
        <w:t>需说明，稳态零纠错是预期之中的结果——内码足够强本就是本研究的平台前提，四档配置在良好 SNR 下等价，此时 Pareto 前沿由吞吐损失单维决定，必然指向最轻档位；外码的真实作用域是启动锁定瞬态、深衰落与遮挡等非稳态条件（前期唯一观测到的失败事件即发生于接收机启动同步锁定瞬态）。因此“外码何时开始起作用”（激活点）不由稳态计数刻画，而由衰减条件下的纠错/不可纠事件率刻画；该问题连同四档配置的激活点曲线，一并在研究内容 2 的受控衰减扫描中给出，本研究内容不为此新增实验。</w:t>
      </w:r>
    </w:p>
    <w:p w14:paraId="70FA9153">
      <w:pPr>
        <w:ind w:firstLine="480"/>
        <w:rPr>
          <w:b w:val="0"/>
          <w:bCs w:val="0"/>
        </w:rPr>
      </w:pPr>
      <w:r>
        <w:rPr>
          <w:rFonts w:ascii="Times New Roman" w:hAnsi="Times New Roman" w:eastAsia="宋体"/>
          <w:b w:val="0"/>
          <w:bCs w:val="0"/>
          <w:sz w:val="24"/>
        </w:rPr>
        <w:t>- 容器误码脆弱性建模与实测：建立 MPEG-TS 容器放大因子 γ 模型（仅头部暴露即预测 γ≈7×），在关闭外码的极限压力实验下实测四种传输栈的 γ（MPEG-TS+VLC ≈500×、MPEG-TS+ffplay ≈150×、裸流+ffplay ≈8×、裸流+GStreamer ≈4×），指导裸 H.264 Annex B + 容错解码器的架构选择。</w:t>
      </w:r>
    </w:p>
    <w:p w14:paraId="3C9B78F2">
      <w:pPr>
        <w:ind w:firstLine="480"/>
        <w:rPr>
          <w:b w:val="0"/>
          <w:bCs w:val="0"/>
        </w:rPr>
      </w:pPr>
      <w:r>
        <w:rPr>
          <w:rFonts w:ascii="Times New Roman" w:hAnsi="Times New Roman" w:eastAsia="宋体"/>
          <w:b w:val="0"/>
          <w:bCs w:val="0"/>
          <w:sz w:val="24"/>
        </w:rPr>
        <w:t>- 缓冲队列与延迟累积消除：将四级队列深度从 32 削减至 4–8 并以非阻塞 `try_push` 替代阻塞写入，切断"解码器阻塞→缓冲堆积→反压→更深队列"的正反馈环路；实测端到端延迟稳定在 250 ms 量级（连续 5 分钟测量中前 74 秒 4 个采样点均值为 250.3 ms），且无随时间累积趋势，其中视频解码环节占主导。需说明的是，本测量采用秒表法（拍摄设备 30 fps，时间分辨率约 33 ms），因此报告精度以"约 250 ms / 无累积趋势"为准。</w:t>
      </w:r>
    </w:p>
    <w:p w14:paraId="4B6135E9">
      <w:pPr>
        <w:ind w:firstLine="480"/>
        <w:rPr>
          <w:b w:val="0"/>
          <w:bCs w:val="0"/>
        </w:rPr>
      </w:pPr>
      <w:r>
        <w:rPr>
          <w:rFonts w:ascii="Times New Roman" w:hAnsi="Times New Roman" w:eastAsia="宋体"/>
          <w:b w:val="0"/>
          <w:bCs w:val="0"/>
          <w:sz w:val="24"/>
        </w:rPr>
        <w:t>- 调制与波形参数边界：实测 16QAM 在 B210 上为计算瓶颈而非信道瓶颈（CPU 105%、2.38 ms/帧）；码率/GOP 扫描确定 1200 kbps/30 帧为综合最优；CP=64 实验给出室内多径下 CP=128（2.56 μs）的最小可行保护间隔；BER–速率扫描显示 3000 kbps 以下有效载荷零误码、视频速率下 2.5 倍余量。</w:t>
      </w:r>
    </w:p>
    <w:p w14:paraId="5E485B42">
      <w:pPr>
        <w:jc w:val="center"/>
      </w:pPr>
      <w:r>
        <w:drawing>
          <wp:inline distT="0" distB="0" distL="114300" distR="114300">
            <wp:extent cx="566928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69280" cy="2834640"/>
                    </a:xfrm>
                    <a:prstGeom prst="rect">
                      <a:avLst/>
                    </a:prstGeom>
                  </pic:spPr>
                </pic:pic>
              </a:graphicData>
            </a:graphic>
          </wp:inline>
        </w:drawing>
      </w:r>
    </w:p>
    <w:p w14:paraId="13F9D03A">
      <w:pPr>
        <w:ind w:firstLine="480"/>
        <w:rPr>
          <w:b w:val="0"/>
          <w:bCs/>
          <w:sz w:val="21"/>
          <w:szCs w:val="21"/>
        </w:rPr>
      </w:pPr>
      <w:r>
        <w:rPr>
          <w:rFonts w:ascii="Times New Roman" w:hAnsi="Times New Roman" w:eastAsia="宋体"/>
          <w:b w:val="0"/>
          <w:bCs/>
          <w:sz w:val="21"/>
          <w:szCs w:val="21"/>
        </w:rPr>
        <w:t>图 2　容器误码放大因子 γ：模型预测与四种传输栈实测对比（RS 外码禁用压力测试）</w:t>
      </w:r>
    </w:p>
    <w:p w14:paraId="38EC8EF2">
      <w:pPr>
        <w:ind w:firstLine="480"/>
      </w:pPr>
      <w:r>
        <w:rPr>
          <w:rFonts w:ascii="Times New Roman" w:hAnsi="Times New Roman" w:eastAsia="宋体"/>
          <w:b/>
          <w:sz w:val="24"/>
        </w:rPr>
        <w:t>研究内容 2（拟研究）：信道自适应的可靠传输机制</w:t>
      </w:r>
    </w:p>
    <w:p w14:paraId="4DF880BA">
      <w:pPr>
        <w:ind w:firstLine="480"/>
        <w:rPr>
          <w:b w:val="0"/>
          <w:bCs/>
        </w:rPr>
      </w:pPr>
      <w:r>
        <w:rPr>
          <w:rFonts w:ascii="Times New Roman" w:hAnsi="Times New Roman" w:eastAsia="宋体"/>
          <w:b w:val="0"/>
          <w:bCs/>
          <w:sz w:val="24"/>
        </w:rPr>
        <w:t>现有不足与本研究创新点：现有 RS 自适应方案（如 Tetrys 类冗余自适应</w:t>
      </w:r>
      <w:r>
        <w:rPr>
          <w:rFonts w:ascii="Times New Roman" w:hAnsi="Times New Roman" w:eastAsia="宋体"/>
          <w:b w:val="0"/>
          <w:bCs/>
          <w:sz w:val="24"/>
          <w:vertAlign w:val="superscript"/>
        </w:rPr>
        <w:t>[17]</w:t>
      </w:r>
      <w:r>
        <w:rPr>
          <w:rFonts w:ascii="Times New Roman" w:hAnsi="Times New Roman" w:eastAsia="宋体"/>
          <w:b w:val="0"/>
          <w:bCs/>
          <w:sz w:val="24"/>
        </w:rPr>
        <w:t>）面向包删除信道，不适配 ISAC 物理层可配置的外码参数空间。本研究在实测残差统计而非信道模型假设的基础上，建立 SNR 到 RS 配置的在线映射，这是利用 ISAC 物理层可配置性这一新自由度的首次尝试。</w:t>
      </w:r>
    </w:p>
    <w:p w14:paraId="3FE21000">
      <w:pPr>
        <w:ind w:firstLine="480"/>
        <w:rPr>
          <w:b w:val="0"/>
          <w:bCs/>
        </w:rPr>
      </w:pPr>
      <w:r>
        <w:rPr>
          <w:rFonts w:ascii="Times New Roman" w:hAnsi="Times New Roman" w:eastAsia="宋体"/>
          <w:b w:val="0"/>
          <w:bCs/>
          <w:sz w:val="24"/>
        </w:rPr>
        <w:t>- 拟研究问题：本部分回答两个相互衔接的问题。(1) 外码的必要性边界：研究点 1 已证明固定 RS(255,223) 在实验室稳态 SNR 下“过保护”，但该结论只在良好 SNR 的单点成立——四档配置在稳态下零纠错，无法区分优劣。外码究竟在何种 SNR 区段开始产生纠正（即级联结构的“激活点”），决定了外码的真实边界与必要性，这是研究点 1 未覆盖、需在本部分回答的问题。(2) 在线码率选择：当信道条件随距离/遮挡/干扰变化时，如何依据实时信噪比与残差统计量在线选择码率参数，使链路在吞吐与可靠性之间保持最优。</w:t>
      </w:r>
    </w:p>
    <w:p w14:paraId="261662CA">
      <w:pPr>
        <w:ind w:firstLine="480"/>
        <w:rPr>
          <w:b w:val="0"/>
          <w:bCs/>
        </w:rPr>
      </w:pPr>
      <w:r>
        <w:rPr>
          <w:rFonts w:ascii="Times New Roman" w:hAnsi="Times New Roman" w:eastAsia="宋体"/>
          <w:b w:val="0"/>
          <w:bCs/>
          <w:sz w:val="24"/>
        </w:rPr>
        <w:t>- 拟采用方案：本部分需先完成一项使能性改造——将 RS 外码由当前"编译期常量 K + 单档生成多项式"改造为运行时可配置（运行期选择 K 并动态生成 g(x)），这是实现参数热切换的必要前提，本身即构成对平台的工程贡献。在此基础上：</w:t>
      </w:r>
    </w:p>
    <w:p w14:paraId="261662CA">
      <w:pPr>
        <w:ind w:firstLine="480"/>
        <w:rPr>
          <w:b w:val="0"/>
          <w:bCs/>
        </w:rPr>
      </w:pPr>
      <w:r>
        <w:rPr>
          <w:rFonts w:ascii="Times New Roman" w:hAnsi="Times New Roman" w:eastAsia="宋体"/>
          <w:b w:val="0"/>
          <w:bCs/>
          <w:sz w:val="24"/>
        </w:rPr>
        <w:t xml:space="preserve">  - 外码激活点的二维刻画（回答拟研究问题 1）：在受控衰减扫描（0–20 dB）下，同步记录四档配置（K=223/207/191/179）的纠错事件数、不可纠事件数与有效吞吐，绘出“SNR–纠错事件率”曲线，确定各档位的激活点、工作区段与最优切换区段。该数据既回答研究点 1 遗留的边界问题，又构成下文映射模型的直接输入，故不构成额外实验负担。</w:t>
      </w:r>
    </w:p>
    <w:p w14:paraId="79328220">
      <w:pPr>
        <w:ind w:firstLine="480"/>
        <w:rPr>
          <w:b w:val="0"/>
          <w:bCs/>
        </w:rPr>
      </w:pPr>
      <w:r>
        <w:rPr>
          <w:rFonts w:ascii="Times New Roman" w:hAnsi="Times New Roman" w:eastAsia="宋体"/>
          <w:b w:val="0"/>
          <w:bCs/>
          <w:sz w:val="24"/>
        </w:rPr>
        <w:t xml:space="preserve">  - SNR/残差统计量构造：利用解调链路已有的导频相位与信道估计输出，构造实时 SNR 指标（采用 8 根均匀间隔导频子载波的平均 EsN0，滑动窗口长度 100 帧约 230 ms）；同时在 LDPC 译码器输出处以 CRC 校验失败率作为残差统计量（统计窗口 1000 码字约 2.3 秒）；</w:t>
      </w:r>
    </w:p>
    <w:p w14:paraId="53711475">
      <w:pPr>
        <w:ind w:firstLine="480"/>
      </w:pPr>
      <w:r>
        <w:rPr>
          <w:rFonts w:ascii="Times New Roman" w:hAnsi="Times New Roman" w:eastAsia="宋体"/>
          <w:b w:val="0"/>
          <w:bCs/>
          <w:sz w:val="24"/>
        </w:rPr>
        <w:t xml:space="preserve">  - 映射模型构建：通过受控衰减实验（可调衰减器扫描 0–20 dB），建立"SNR / 残差失败率"到"最优外码档位（223/207/191/179）+ 调制阶数</w:t>
      </w:r>
      <w:r>
        <w:rPr>
          <w:rFonts w:ascii="Times New Roman" w:hAnsi="Times New Roman" w:eastAsia="宋体"/>
          <w:b w:val="0"/>
          <w:sz w:val="24"/>
        </w:rPr>
        <w:t>（QPSK/16QAM）"的二维查找表，优化目标为吞吐—可靠性联合指标（定义为：有效吞吐 × (1 - 画面失步率)）；</w:t>
      </w:r>
    </w:p>
    <w:p w14:paraId="060035A4">
      <w:pPr>
        <w:ind w:firstLine="480"/>
      </w:pPr>
      <w:r>
        <w:rPr>
          <w:rFonts w:ascii="Times New Roman" w:hAnsi="Times New Roman" w:eastAsia="宋体"/>
          <w:b w:val="0"/>
          <w:sz w:val="24"/>
        </w:rPr>
        <w:t xml:space="preserve">  -</w:t>
      </w:r>
      <w:r>
        <w:rPr>
          <w:rFonts w:ascii="Times New Roman" w:hAnsi="Times New Roman" w:eastAsia="宋体"/>
          <w:b w:val="0"/>
          <w:bCs w:val="0"/>
          <w:sz w:val="24"/>
        </w:rPr>
        <w:t xml:space="preserve"> 热切换实现：在平台运行时层实</w:t>
      </w:r>
      <w:r>
        <w:rPr>
          <w:rFonts w:ascii="Times New Roman" w:hAnsi="Times New Roman" w:eastAsia="宋体"/>
          <w:b w:val="0"/>
          <w:sz w:val="24"/>
        </w:rPr>
        <w:t>现参数切换逻辑——切换点限定在视频 GOP 边界（1.5 秒）与 OFDM 帧边界对齐处，切换时保留上一档位作为回退参数；触发条件为 SNR 越过预设阈值（±3 dB 滞回）或连续 5 秒残差失败率超标；</w:t>
      </w:r>
    </w:p>
    <w:p w14:paraId="6BC66209">
      <w:pPr>
        <w:ind w:firstLine="480"/>
      </w:pPr>
      <w:r>
        <w:rPr>
          <w:rFonts w:ascii="Times New Roman" w:hAnsi="Times New Roman" w:eastAsia="宋体"/>
          <w:b w:val="0"/>
          <w:sz w:val="24"/>
        </w:rPr>
        <w:t xml:space="preserve">  - </w:t>
      </w:r>
      <w:r>
        <w:rPr>
          <w:rFonts w:ascii="Times New Roman" w:hAnsi="Times New Roman" w:eastAsia="宋体"/>
          <w:b w:val="0"/>
          <w:bCs/>
          <w:sz w:val="24"/>
        </w:rPr>
        <w:t>实测对比</w:t>
      </w:r>
      <w:r>
        <w:rPr>
          <w:rFonts w:ascii="Times New Roman" w:hAnsi="Times New Roman" w:eastAsia="宋体"/>
          <w:b w:val="0"/>
          <w:sz w:val="24"/>
        </w:rPr>
        <w:t>：在室内移动/遮挡场景下对比固定配置（RS(255,223) + QPSK）与自适应方案的画面完好率、平均吞吐与切换稳定性。</w:t>
      </w:r>
    </w:p>
    <w:p w14:paraId="54274ABD">
      <w:pPr>
        <w:ind w:firstLine="480"/>
      </w:pPr>
      <w:r>
        <w:rPr>
          <w:rFonts w:ascii="Times New Roman" w:hAnsi="Times New Roman" w:eastAsia="宋体"/>
          <w:b w:val="0"/>
          <w:sz w:val="24"/>
        </w:rPr>
        <w:t xml:space="preserve">- </w:t>
      </w:r>
      <w:r>
        <w:rPr>
          <w:rFonts w:ascii="Times New Roman" w:hAnsi="Times New Roman" w:eastAsia="宋体"/>
          <w:b w:val="0"/>
          <w:bCs/>
          <w:sz w:val="24"/>
        </w:rPr>
        <w:t>预期产出</w:t>
      </w:r>
      <w:r>
        <w:rPr>
          <w:rFonts w:ascii="Times New Roman" w:hAnsi="Times New Roman" w:eastAsia="宋体"/>
          <w:b w:val="0"/>
          <w:sz w:val="24"/>
        </w:rPr>
        <w:t>：自适应切换策略的实测对比（固定 vs 自适应的吞吐/可靠性曲线）。</w:t>
      </w:r>
    </w:p>
    <w:p w14:paraId="6CDCB613">
      <w:pPr>
        <w:ind w:firstLine="480"/>
      </w:pPr>
      <w:r>
        <w:rPr>
          <w:rFonts w:ascii="Times New Roman" w:hAnsi="Times New Roman" w:eastAsia="宋体"/>
          <w:b/>
          <w:sz w:val="24"/>
        </w:rPr>
        <w:t>研究内容 3（拟研究）：基于通信波形的非接触微动感知</w:t>
      </w:r>
    </w:p>
    <w:p w14:paraId="379580F7">
      <w:pPr>
        <w:ind w:firstLine="480"/>
      </w:pPr>
      <w:r>
        <w:rPr>
          <w:rFonts w:ascii="Times New Roman" w:hAnsi="Times New Roman" w:eastAsia="宋体"/>
          <w:b w:val="0"/>
          <w:bCs/>
          <w:sz w:val="24"/>
        </w:rPr>
        <w:t>现有不足与本研究创新点</w:t>
      </w:r>
      <w:r>
        <w:rPr>
          <w:rFonts w:ascii="Times New Roman" w:hAnsi="Times New Roman" w:eastAsia="宋体"/>
          <w:b w:val="0"/>
          <w:sz w:val="24"/>
        </w:rPr>
        <w:t>：现有 OFDM 微动感知（如 OFDM-Breathe、AI-Assisted ISAC 呼吸识别</w:t>
      </w:r>
      <w:r>
        <w:rPr>
          <w:rFonts w:ascii="Times New Roman" w:hAnsi="Times New Roman" w:eastAsia="宋体"/>
          <w:b w:val="0"/>
          <w:sz w:val="24"/>
          <w:vertAlign w:val="superscript"/>
        </w:rPr>
        <w:t>[28][29]</w:t>
      </w:r>
      <w:r>
        <w:rPr>
          <w:rFonts w:ascii="Times New Roman" w:hAnsi="Times New Roman" w:eastAsia="宋体"/>
          <w:b w:val="0"/>
          <w:sz w:val="24"/>
        </w:rPr>
        <w:t>）均基于专用感知波形或低速数据包；本文在承载实时 H.264 视频流的同一 OFDM 波形上提取微动相位，视频码率动态变化引起的子载波功率扰动对感知 SNR 的影响此前未被建模，这是本文的新贡献。</w:t>
      </w:r>
    </w:p>
    <w:p w14:paraId="577FC151">
      <w:pPr>
        <w:ind w:firstLine="480"/>
        <w:rPr>
          <w:b w:val="0"/>
          <w:bCs w:val="0"/>
        </w:rPr>
      </w:pPr>
      <w:r>
        <w:rPr>
          <w:rFonts w:ascii="Times New Roman" w:hAnsi="Times New Roman" w:eastAsia="宋体"/>
          <w:b w:val="0"/>
          <w:bCs w:val="0"/>
          <w:sz w:val="24"/>
        </w:rPr>
        <w:t>- 拟研究问题：在承载视频业务的同时，能否从同一 OFDM 波形的解调相位中提取人体呼吸与心跳信号？</w:t>
      </w:r>
    </w:p>
    <w:p w14:paraId="3097307C">
      <w:pPr>
        <w:ind w:firstLine="480"/>
        <w:rPr>
          <w:b w:val="0"/>
          <w:bCs w:val="0"/>
        </w:rPr>
      </w:pPr>
      <w:r>
        <w:rPr>
          <w:rFonts w:ascii="Times New Roman" w:hAnsi="Times New Roman" w:eastAsia="宋体"/>
          <w:b w:val="0"/>
          <w:bCs w:val="0"/>
          <w:sz w:val="24"/>
        </w:rPr>
        <w:t>- 相位灵敏度预算（定量前提）：在 3.5 GHz 载波下波长 λ≈85.7 mm，胸壁往返位移 d 引起的相位变化为 Δφ = 4πd/λ。呼吸引起的胸壁位移约 4–8 mm，对应 Δφ ≈ 0.59–1.17 rad（34°–67°），量级充裕；心跳引起的胸壁位移约 0.2–0.5 mm，对应 Δφ ≈ 0.03–0.07 rad（1.7°–4°），这才是真正受限于系统相位噪声底的部分，也是目标 C 必须先标定的原因。</w:t>
      </w:r>
    </w:p>
    <w:p w14:paraId="7BD4B339">
      <w:pPr>
        <w:ind w:firstLine="480"/>
        <w:rPr>
          <w:b w:val="0"/>
          <w:bCs w:val="0"/>
        </w:rPr>
      </w:pPr>
      <w:r>
        <w:rPr>
          <w:rFonts w:ascii="Times New Roman" w:hAnsi="Times New Roman" w:eastAsia="宋体"/>
          <w:b w:val="0"/>
          <w:bCs w:val="0"/>
          <w:sz w:val="24"/>
        </w:rPr>
        <w:t>- 拟采用方案：利用接收链路已有的导频相位跟踪与 ZF 均衡输出，对静止人体所在距离门的相位做时序提取；加长相参处理时间（多普勒 FFT 点数 100→4096 级，对应约 9.4 s 观测窗、频率分辨率优于 0.11 Hz）并切换到相位域处理；采用"相位差分 / 高通-带通级联滤波 + 参考距离门相位共模消除"抑制载波相位漂移——需特别说明，单站自发自收模式下收发共用本振，相位噪声在往返回波上呈共模特性，可经共模相消显著抑制，这是选择单站模式的主要理由（而非依赖时钟源驯服——GPSDO 只能改善长期频漂，对 0.1–100 Hz 近载波相噪无效）。</w:t>
      </w:r>
    </w:p>
    <w:p w14:paraId="020916B9">
      <w:pPr>
        <w:ind w:firstLine="480"/>
        <w:rPr>
          <w:b w:val="0"/>
          <w:bCs w:val="0"/>
        </w:rPr>
      </w:pPr>
      <w:r>
        <w:rPr>
          <w:rFonts w:ascii="Times New Roman" w:hAnsi="Times New Roman" w:eastAsia="宋体"/>
          <w:b w:val="0"/>
          <w:bCs w:val="0"/>
          <w:sz w:val="24"/>
        </w:rPr>
        <w:t>- 呼吸谐波与心率的频段重叠问题：由于呼吸基频 f_r≈0.2–0.5 Hz 的二次、三次谐波（2f_r≈0.4–1.0 Hz、3f_r≈0.6–1.5 Hz）与心跳频带 0.8–2.0 Hz 存在重叠，单纯线性带通滤波无法分离。拟采用以下两种方法之一或组合：(a) 相位域逐分量剥离——先由长窗谱估计出呼吸基频及谐波幅度，重构呼吸相位分量并从观测相位中减去，再对残差做心跳频带谱估计；(b) 倒谱分析——利用呼吸谐波构成周期家族、在倒谱域呈现为等间隔峰簇的特性，识别并剔除呼吸谐波分量。方法选择依前期预实验的谱结构确定。</w:t>
      </w:r>
    </w:p>
    <w:p w14:paraId="3C9E3956">
      <w:pPr>
        <w:ind w:firstLine="480"/>
        <w:rPr>
          <w:b w:val="0"/>
          <w:bCs w:val="0"/>
        </w:rPr>
      </w:pPr>
      <w:r>
        <w:rPr>
          <w:rFonts w:ascii="Times New Roman" w:hAnsi="Times New Roman" w:eastAsia="宋体"/>
          <w:b w:val="0"/>
          <w:bCs w:val="0"/>
          <w:sz w:val="24"/>
        </w:rPr>
        <w:t>- 分层目标（递进设计）：目标 A——呼吸与心跳双参数提取与连续监测；目标 B——静止人体呼吸率可靠检测；目标 C——感知链路微动检测能力基线评估（相位噪声底、最小可检测体动幅度、所需 SNR）。三级目标各自均可支撑独立章节，按实验条件逐级推进。</w:t>
      </w:r>
    </w:p>
    <w:p w14:paraId="7FA16880">
      <w:pPr>
        <w:ind w:firstLine="480"/>
      </w:pPr>
      <w:r>
        <w:rPr>
          <w:rFonts w:ascii="Times New Roman" w:hAnsi="Times New Roman" w:eastAsia="宋体"/>
          <w:b w:val="0"/>
          <w:bCs w:val="0"/>
          <w:sz w:val="24"/>
        </w:rPr>
        <w:t>- 预期产出：呼吸/心跳提取的实测结果与检测性能评</w:t>
      </w:r>
      <w:r>
        <w:rPr>
          <w:rFonts w:ascii="Times New Roman" w:hAnsi="Times New Roman" w:eastAsia="宋体"/>
          <w:b w:val="0"/>
          <w:sz w:val="24"/>
        </w:rPr>
        <w:t>估。</w:t>
      </w:r>
    </w:p>
    <w:p w14:paraId="73C869C9">
      <w:r>
        <w:rPr>
          <w:rFonts w:ascii="Times New Roman" w:hAnsi="Times New Roman" w:eastAsia="黑体"/>
          <w:b/>
          <w:sz w:val="25"/>
        </w:rPr>
        <w:t>4.3 拟解决的关键问题</w:t>
      </w:r>
    </w:p>
    <w:p w14:paraId="5B9FD16E">
      <w:pPr>
        <w:ind w:firstLine="480"/>
        <w:rPr>
          <w:b w:val="0"/>
          <w:bCs w:val="0"/>
        </w:rPr>
      </w:pPr>
      <w:r>
        <w:rPr>
          <w:rFonts w:ascii="Times New Roman" w:hAnsi="Times New Roman" w:eastAsia="宋体"/>
          <w:b w:val="0"/>
          <w:bCs w:val="0"/>
          <w:sz w:val="24"/>
        </w:rPr>
        <w:t>1. 残留误码统计与跨层保护的匹配问题：如何用实测残差错统计（而非最坏情况模型）确定跨层保护的最小充分配置，并给出可迁移的设计准则。</w:t>
      </w:r>
      <w:r>
        <w:rPr>
          <w:rFonts w:ascii="Times New Roman" w:hAnsi="Times New Roman"/>
          <w:b w:val="0"/>
          <w:sz w:val="24"/>
        </w:rPr>
        <w:t>其中“充分”的判据是覆盖实测残差的统计上界、而非消除全部误码；该判据的完整刻画需二维评估——良好 SNR 下的吞吐损失与衰落条件下的激活点位置，二者共同界定外码的必要性与最优档位。</w:t>
      </w:r>
    </w:p>
    <w:p w14:paraId="5E04FC05">
      <w:pPr>
        <w:ind w:firstLine="480"/>
        <w:rPr>
          <w:b w:val="0"/>
          <w:bCs w:val="0"/>
        </w:rPr>
      </w:pPr>
      <w:r>
        <w:rPr>
          <w:rFonts w:ascii="Times New Roman" w:hAnsi="Times New Roman" w:eastAsia="宋体"/>
          <w:b w:val="0"/>
          <w:bCs w:val="0"/>
          <w:sz w:val="24"/>
        </w:rPr>
        <w:t>2. ISAC 双功能并发的资源协同问题：视频业务对吞吐/延迟的要求与感知对相参处理时长/导频密度的要求共享同一波形，参数调整存在耦合，需研究两功能的兼容域与协同设计方法。</w:t>
      </w:r>
    </w:p>
    <w:p w14:paraId="277B3BDC">
      <w:pPr>
        <w:ind w:firstLine="480"/>
      </w:pPr>
      <w:r>
        <w:rPr>
          <w:rFonts w:ascii="Times New Roman" w:hAnsi="Times New Roman" w:eastAsia="宋体"/>
          <w:b w:val="0"/>
          <w:bCs w:val="0"/>
          <w:sz w:val="24"/>
        </w:rPr>
        <w:t>3. 通信链路相位噪声背景下的微弱微动提取问题：商用 SDR 时钟相位噪声远高于专用雷达，需解决相位误差抑制、体动干扰分离</w:t>
      </w:r>
      <w:r>
        <w:rPr>
          <w:rFonts w:ascii="Times New Roman" w:hAnsi="Times New Roman" w:eastAsia="宋体"/>
          <w:b w:val="0"/>
          <w:sz w:val="24"/>
        </w:rPr>
        <w:t>与长时相参积累下的频率估计稳定性。</w:t>
      </w:r>
    </w:p>
    <w:p w14:paraId="2EE8C3C4">
      <w:r>
        <w:rPr>
          <w:rFonts w:ascii="Times New Roman" w:hAnsi="Times New Roman" w:eastAsia="黑体"/>
          <w:b/>
          <w:sz w:val="28"/>
        </w:rPr>
        <w:t>五、研究方法、技术路线、试验手段、关键技术</w:t>
      </w:r>
    </w:p>
    <w:p w14:paraId="4163B742">
      <w:r>
        <w:rPr>
          <w:rFonts w:ascii="Times New Roman" w:hAnsi="Times New Roman" w:eastAsia="黑体"/>
          <w:b/>
          <w:sz w:val="25"/>
        </w:rPr>
        <w:t>5.1 总体技术路线</w:t>
      </w:r>
    </w:p>
    <w:p w14:paraId="28BE1F42">
      <w:pPr>
        <w:ind w:firstLine="480"/>
      </w:pPr>
      <w:r>
        <w:rPr>
          <w:rFonts w:ascii="Times New Roman" w:hAnsi="Times New Roman" w:eastAsia="宋体"/>
          <w:b w:val="0"/>
          <w:sz w:val="24"/>
        </w:rPr>
        <w:t>本课题采用</w:t>
      </w:r>
      <w:r>
        <w:rPr>
          <w:rFonts w:ascii="Times New Roman" w:hAnsi="Times New Roman" w:eastAsia="宋体"/>
          <w:b w:val="0"/>
          <w:bCs w:val="0"/>
          <w:sz w:val="24"/>
        </w:rPr>
        <w:t>"开源平台 + 受控实验 + 模型指导"的</w:t>
      </w:r>
      <w:r>
        <w:rPr>
          <w:rFonts w:ascii="Times New Roman" w:hAnsi="Times New Roman" w:eastAsia="宋体"/>
          <w:b w:val="0"/>
          <w:sz w:val="24"/>
        </w:rPr>
        <w:t>研究路线：以 OpenISAC 平台为统一试验载体，三个研究内容共享同一硬件链路与实验基础设施，逐层递进——研究点 1 建立跨层基线与方法论，研究点 2 在其上引入信道自适应维度，研究点 3 在同一波形上开发感知维度。[技术路线总图见图 3]</w:t>
      </w:r>
    </w:p>
    <w:p w14:paraId="707231FF">
      <w:pPr>
        <w:jc w:val="center"/>
      </w:pPr>
      <w:r>
        <w:drawing>
          <wp:inline distT="0" distB="0" distL="114300" distR="114300">
            <wp:extent cx="5669280" cy="343662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69280" cy="3437224"/>
                    </a:xfrm>
                    <a:prstGeom prst="rect">
                      <a:avLst/>
                    </a:prstGeom>
                  </pic:spPr>
                </pic:pic>
              </a:graphicData>
            </a:graphic>
          </wp:inline>
        </w:drawing>
      </w:r>
    </w:p>
    <w:p w14:paraId="55933209">
      <w:pPr>
        <w:ind w:firstLine="480"/>
        <w:rPr>
          <w:sz w:val="21"/>
          <w:szCs w:val="21"/>
        </w:rPr>
      </w:pPr>
      <w:r>
        <w:rPr>
          <w:rFonts w:ascii="Times New Roman" w:hAnsi="Times New Roman" w:eastAsia="宋体"/>
          <w:b/>
          <w:sz w:val="21"/>
          <w:szCs w:val="21"/>
        </w:rPr>
        <w:t>图 3　技术路线总图：统一平台支撑三个研究内容的递进关系</w:t>
      </w:r>
    </w:p>
    <w:p w14:paraId="51FA07DC">
      <w:r>
        <w:rPr>
          <w:rFonts w:ascii="Times New Roman" w:hAnsi="Times New Roman" w:eastAsia="黑体"/>
          <w:b/>
          <w:sz w:val="25"/>
        </w:rPr>
        <w:t>5.2 试验手段</w:t>
      </w:r>
    </w:p>
    <w:p w14:paraId="204E5ACA">
      <w:pPr>
        <w:ind w:firstLine="480"/>
        <w:rPr>
          <w:b w:val="0"/>
          <w:bCs w:val="0"/>
        </w:rPr>
      </w:pPr>
      <w:r>
        <w:rPr>
          <w:rFonts w:ascii="Times New Roman" w:hAnsi="Times New Roman" w:eastAsia="宋体"/>
          <w:b w:val="0"/>
          <w:sz w:val="24"/>
        </w:rPr>
        <w:t>-</w:t>
      </w:r>
      <w:r>
        <w:rPr>
          <w:rFonts w:ascii="Times New Roman" w:hAnsi="Times New Roman" w:eastAsia="宋体"/>
          <w:b w:val="0"/>
          <w:bCs w:val="0"/>
          <w:sz w:val="24"/>
        </w:rPr>
        <w:t xml:space="preserve"> 硬件平台：USRP N320（BS，SFP+ 10GigE）+ USRP B210（UE，USB 3.0）+ 对数周期天线；室内视距链路（约 5 m）。载波中心频率 3.1 GHz。</w:t>
      </w:r>
    </w:p>
    <w:p w14:paraId="35AE7E6B">
      <w:pPr>
        <w:ind w:firstLine="480"/>
        <w:rPr>
          <w:b w:val="0"/>
          <w:bCs w:val="0"/>
        </w:rPr>
      </w:pPr>
      <w:r>
        <w:rPr>
          <w:rFonts w:ascii="Times New Roman" w:hAnsi="Times New Roman" w:eastAsia="宋体"/>
          <w:b w:val="0"/>
          <w:bCs w:val="0"/>
          <w:sz w:val="24"/>
        </w:rPr>
        <w:t>- 波形与协议：OFDM 1024-FFT / CP 128 / 100 符号 / 50 MHz 采样率（帧长 2.304 ms，≈434 帧/s）；RS(255,K) 外码（自主实现）级联 LDPC(1008,504) 内码（内码基于 AFF3CT 库实现</w:t>
      </w:r>
      <w:r>
        <w:rPr>
          <w:rFonts w:ascii="Times New Roman" w:hAnsi="Times New Roman" w:eastAsia="宋体"/>
          <w:b w:val="0"/>
          <w:bCs w:val="0"/>
          <w:sz w:val="24"/>
          <w:vertAlign w:val="superscript"/>
        </w:rPr>
        <w:t>[27]</w:t>
      </w:r>
      <w:r>
        <w:rPr>
          <w:rFonts w:ascii="Times New Roman" w:hAnsi="Times New Roman" w:eastAsia="宋体"/>
          <w:b w:val="0"/>
          <w:bCs w:val="0"/>
          <w:sz w:val="24"/>
        </w:rPr>
        <w:t>）；QPSK/16QAM；视频业务 640×480@20fps H.264（裸 Annex B，GStreamer 管道）。</w:t>
      </w:r>
    </w:p>
    <w:p w14:paraId="0605C320">
      <w:pPr>
        <w:ind w:firstLine="480"/>
        <w:rPr>
          <w:b w:val="0"/>
          <w:bCs w:val="0"/>
        </w:rPr>
      </w:pPr>
      <w:r>
        <w:rPr>
          <w:rFonts w:ascii="Times New Roman" w:hAnsi="Times New Roman" w:eastAsia="宋体"/>
          <w:b w:val="0"/>
          <w:bCs w:val="0"/>
          <w:sz w:val="24"/>
        </w:rPr>
        <w:t>- 测量方法：固定模式载荷速率扫描（字节级 BER）、秒表法端到端延迟（≈33 ms 分辨率）、fail_rate 稳态统计、语义保持扰动鲁棒性测试；微动感知采用相位时序提取 + 长窗谱估计，以呼吸/心跳参考频段能量与谐波结构为判据。</w:t>
      </w:r>
    </w:p>
    <w:p w14:paraId="71A1811C">
      <w:pPr>
        <w:ind w:firstLine="480"/>
        <w:rPr>
          <w:b w:val="0"/>
          <w:bCs w:val="0"/>
        </w:rPr>
      </w:pPr>
      <w:r>
        <w:rPr>
          <w:rFonts w:ascii="Times New Roman" w:hAnsi="Times New Roman" w:eastAsia="宋体"/>
          <w:b w:val="0"/>
          <w:bCs w:val="0"/>
          <w:sz w:val="24"/>
        </w:rPr>
        <w:t>- 自干扰与链路预算：单站自发自收模式下，发射端约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14:paraId="0E5B1818">
      <w:pPr>
        <w:ind w:firstLine="480"/>
      </w:pPr>
      <w:r>
        <w:rPr>
          <w:rFonts w:ascii="Times New Roman" w:hAnsi="Times New Roman" w:eastAsia="宋体"/>
          <w:b w:val="0"/>
          <w:bCs w:val="0"/>
          <w:sz w:val="24"/>
        </w:rPr>
        <w:t>- 数据处理</w:t>
      </w:r>
      <w:r>
        <w:rPr>
          <w:rFonts w:ascii="Times New Roman" w:hAnsi="Times New Roman" w:eastAsia="宋体"/>
          <w:b w:val="0"/>
          <w:sz w:val="24"/>
        </w:rPr>
        <w:t>：Python/numpy 离线分析；全部实验脚本与配置纳入版本管理，保证可复现。</w:t>
      </w:r>
    </w:p>
    <w:p w14:paraId="388F4EBC">
      <w:r>
        <w:rPr>
          <w:rFonts w:ascii="Times New Roman" w:hAnsi="Times New Roman" w:eastAsia="黑体"/>
          <w:b/>
          <w:sz w:val="25"/>
        </w:rPr>
        <w:t>5.3 关键技术</w:t>
      </w:r>
    </w:p>
    <w:p w14:paraId="4D5372E8">
      <w:pPr>
        <w:ind w:firstLine="480"/>
        <w:rPr>
          <w:b w:val="0"/>
          <w:bCs w:val="0"/>
        </w:rPr>
      </w:pPr>
      <w:r>
        <w:rPr>
          <w:rFonts w:ascii="Times New Roman" w:hAnsi="Times New Roman" w:eastAsia="宋体"/>
          <w:b w:val="0"/>
          <w:sz w:val="24"/>
        </w:rPr>
        <w:t>1</w:t>
      </w:r>
      <w:r>
        <w:rPr>
          <w:rFonts w:ascii="Times New Roman" w:hAnsi="Times New Roman" w:eastAsia="宋体"/>
          <w:b w:val="0"/>
          <w:bCs w:val="0"/>
          <w:sz w:val="24"/>
        </w:rPr>
        <w:t>. RS 外码参数的可重构化：将当前以编译期常量固定的 K 与生成多项式改造为运行时可配置（运行期选择 K、动态生成 g(x)），为码率自适应提供使能条件（研究点 2 关键）。</w:t>
      </w:r>
    </w:p>
    <w:p w14:paraId="6FDBE179">
      <w:pPr>
        <w:ind w:firstLine="480"/>
        <w:rPr>
          <w:b w:val="0"/>
          <w:bCs w:val="0"/>
        </w:rPr>
      </w:pPr>
      <w:r>
        <w:rPr>
          <w:rFonts w:ascii="Times New Roman" w:hAnsi="Times New Roman" w:eastAsia="宋体"/>
          <w:b w:val="0"/>
          <w:bCs w:val="0"/>
          <w:sz w:val="24"/>
        </w:rPr>
        <w:t>2. 跨层参数联动控制：运行时层（YAML 热配置 + 控制通道）实现外码参数/调制阶数的在线切换，切换过程的帧同步保持（研究点 2 关键）。</w:t>
      </w:r>
    </w:p>
    <w:p w14:paraId="12FCC209">
      <w:pPr>
        <w:ind w:firstLine="480"/>
        <w:rPr>
          <w:b w:val="0"/>
          <w:bCs w:val="0"/>
        </w:rPr>
      </w:pPr>
      <w:r>
        <w:rPr>
          <w:rFonts w:ascii="Times New Roman" w:hAnsi="Times New Roman" w:eastAsia="宋体"/>
          <w:b w:val="0"/>
          <w:bCs w:val="0"/>
          <w:sz w:val="24"/>
        </w:rPr>
        <w:t>3. 导频相位的高精度复用：在通信解调链路不改动硬件的前提下，把导频相位跟踪输出改造为微动测量的相参相位源（研究点 3 关键）。</w:t>
      </w:r>
    </w:p>
    <w:p w14:paraId="7359620F">
      <w:pPr>
        <w:ind w:firstLine="480"/>
      </w:pPr>
      <w:r>
        <w:rPr>
          <w:rFonts w:ascii="Times New Roman" w:hAnsi="Times New Roman" w:eastAsia="宋体"/>
          <w:b w:val="0"/>
          <w:bCs w:val="0"/>
          <w:sz w:val="24"/>
        </w:rPr>
        <w:t>4. 长时相参积累与相位噪声抑制：延长相参处理窗后载波相位漂移成为主要误差源，拟采用相位差分/高通-带</w:t>
      </w:r>
      <w:r>
        <w:rPr>
          <w:rFonts w:ascii="Times New Roman" w:hAnsi="Times New Roman" w:eastAsia="宋体"/>
          <w:b w:val="0"/>
          <w:sz w:val="24"/>
        </w:rPr>
        <w:t>通级联滤波与参考距离门相位共模消除（研究点 3 关键）。</w:t>
      </w:r>
    </w:p>
    <w:p w14:paraId="0E86613E">
      <w:r>
        <w:rPr>
          <w:rFonts w:ascii="Times New Roman" w:hAnsi="Times New Roman" w:eastAsia="黑体"/>
          <w:b/>
          <w:sz w:val="28"/>
        </w:rPr>
        <w:t>六、年度研究计划、预期成果及现有研究工作基础</w:t>
      </w:r>
    </w:p>
    <w:p w14:paraId="4215F07B">
      <w:r>
        <w:rPr>
          <w:rFonts w:ascii="Times New Roman" w:hAnsi="Times New Roman" w:eastAsia="黑体"/>
          <w:b/>
          <w:sz w:val="25"/>
        </w:rPr>
        <w:t>6.1 现有研究工作基础</w:t>
      </w:r>
    </w:p>
    <w:p w14:paraId="41F78195">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平台与链路：已完成 OpenISAC 平台部署、N320+B210 空口链路联调、视频业务与感知业务并发运行，实验基础设施全部就绪。</w:t>
      </w:r>
    </w:p>
    <w:p w14:paraId="49191C78">
      <w:pPr>
        <w:ind w:firstLine="480"/>
        <w:rPr>
          <w:b w:val="0"/>
          <w:bCs/>
        </w:rPr>
      </w:pPr>
      <w:r>
        <w:rPr>
          <w:rFonts w:ascii="Times New Roman" w:hAnsi="Times New Roman" w:eastAsia="宋体"/>
          <w:b w:val="0"/>
          <w:bCs/>
          <w:sz w:val="24"/>
        </w:rPr>
        <w:t>- 研究点 1 实验数据（已闭环）：RS 四配置 Pareto 扫描（各配置稳态运行期间均无纠错事件，累计观测达 10⁵ 量级码字）、容器放大因子四方案实测、队列优化前后 5 分钟延迟轨迹、调制/码率/GOP/CP 对比实验、BER–速率曲线——以上数据已整理为 5 图 7 表（代表性结果见图 4）。</w:t>
      </w:r>
    </w:p>
    <w:p w14:paraId="7B9F6A44">
      <w:pPr>
        <w:jc w:val="center"/>
      </w:pPr>
      <w:r>
        <w:drawing>
          <wp:inline distT="0" distB="0" distL="114300" distR="114300">
            <wp:extent cx="5669280" cy="22771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669280" cy="2277134"/>
                    </a:xfrm>
                    <a:prstGeom prst="rect">
                      <a:avLst/>
                    </a:prstGeom>
                  </pic:spPr>
                </pic:pic>
              </a:graphicData>
            </a:graphic>
          </wp:inline>
        </w:drawing>
      </w:r>
    </w:p>
    <w:p w14:paraId="28664B03">
      <w:pPr>
        <w:ind w:firstLine="480"/>
      </w:pPr>
      <w:r>
        <w:rPr>
          <w:rFonts w:ascii="Times New Roman" w:hAnsi="Times New Roman" w:eastAsia="宋体"/>
          <w:b/>
          <w:sz w:val="24"/>
        </w:rPr>
        <w:t>图 4　前期完成的端到端时延实测：(a) 五分钟秒表轨迹（5 分钟内无累积趋势）；(b) 时延分解（视频解码环节占主导）</w:t>
      </w:r>
    </w:p>
    <w:p w14:paraId="69C09709">
      <w:pPr>
        <w:ind w:firstLine="480"/>
      </w:pPr>
      <w:r>
        <w:rPr>
          <w:rFonts w:ascii="Times New Roman" w:hAnsi="Times New Roman" w:eastAsia="宋体"/>
          <w:b w:val="0"/>
          <w:sz w:val="24"/>
        </w:rPr>
        <w:t xml:space="preserve">- </w:t>
      </w:r>
      <w:r>
        <w:rPr>
          <w:rFonts w:ascii="Times New Roman" w:hAnsi="Times New Roman" w:eastAsia="宋体"/>
          <w:b/>
          <w:sz w:val="24"/>
        </w:rPr>
        <w:t>论文成果</w:t>
      </w:r>
      <w:r>
        <w:rPr>
          <w:rFonts w:ascii="Times New Roman" w:hAnsi="Times New Roman" w:eastAsia="宋体"/>
          <w:b w:val="0"/>
          <w:sz w:val="24"/>
        </w:rPr>
        <w:t>：基于研究点 1 的英文论文</w:t>
      </w:r>
      <w:r>
        <w:rPr>
          <w:rFonts w:hint="eastAsia"/>
          <w:b w:val="0"/>
          <w:sz w:val="24"/>
          <w:lang w:val="en-US" w:eastAsia="zh-CN"/>
        </w:rPr>
        <w:t>初稿</w:t>
      </w:r>
      <w:r>
        <w:rPr>
          <w:rFonts w:ascii="Times New Roman" w:hAnsi="Times New Roman" w:eastAsia="宋体"/>
          <w:b w:val="0"/>
          <w:sz w:val="24"/>
        </w:rPr>
        <w:t>已完成撰写（《Least-Sufficient Protection: A Cross-Layer Experimental Study of Real-Time Video Transmission over an Open OFDM-ISAC Platform》，拟投 IEEE 系列期刊）。</w:t>
      </w:r>
    </w:p>
    <w:p w14:paraId="53A41823">
      <w:r>
        <w:rPr>
          <w:rFonts w:ascii="Times New Roman" w:hAnsi="Times New Roman" w:eastAsia="黑体"/>
          <w:b/>
          <w:sz w:val="25"/>
        </w:rPr>
        <w:t>6.2 年度研究计划</w:t>
      </w:r>
    </w:p>
    <w:p w14:paraId="6E3C19B0">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第一学期</w:t>
      </w:r>
      <w:r>
        <w:rPr>
          <w:rFonts w:ascii="Times New Roman" w:hAnsi="Times New Roman" w:eastAsia="宋体"/>
          <w:b/>
          <w:sz w:val="24"/>
        </w:rPr>
        <w:t>（2025.09–2026.06）</w:t>
      </w:r>
      <w:r>
        <w:rPr>
          <w:rFonts w:ascii="Times New Roman" w:hAnsi="Times New Roman" w:eastAsia="宋体"/>
          <w:b w:val="0"/>
          <w:sz w:val="24"/>
        </w:rPr>
        <w:t>：完成培养方案课程学习；</w:t>
      </w:r>
      <w:r>
        <w:rPr>
          <w:rFonts w:hint="eastAsia"/>
          <w:b w:val="0"/>
          <w:sz w:val="24"/>
          <w:lang w:val="en-US" w:eastAsia="zh-CN"/>
        </w:rPr>
        <w:t>学习基础知识，夯实基础</w:t>
      </w:r>
      <w:r>
        <w:rPr>
          <w:rFonts w:ascii="Times New Roman" w:hAnsi="Times New Roman" w:eastAsia="宋体"/>
          <w:b w:val="0"/>
          <w:sz w:val="24"/>
        </w:rPr>
        <w:t>。</w:t>
      </w:r>
    </w:p>
    <w:p w14:paraId="3CC5A558">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第二学期</w:t>
      </w:r>
      <w:r>
        <w:rPr>
          <w:rFonts w:ascii="Times New Roman" w:hAnsi="Times New Roman" w:eastAsia="宋体"/>
          <w:b/>
          <w:sz w:val="24"/>
        </w:rPr>
        <w:t>（2026.07–2026.09）</w:t>
      </w:r>
      <w:r>
        <w:rPr>
          <w:rFonts w:ascii="Times New Roman" w:hAnsi="Times New Roman" w:eastAsia="宋体"/>
          <w:b w:val="0"/>
          <w:sz w:val="24"/>
        </w:rPr>
        <w:t>：完成 OpenISAC 平台部署与 RS 外码模块开发；完成研究内容 1 全部实验（RS Pareto 扫描、容器放大因子实测、队列优化、延迟测量、参数边界扫描）；形成英文期刊论文初稿</w:t>
      </w:r>
      <w:r>
        <w:rPr>
          <w:rFonts w:hint="eastAsia"/>
          <w:b w:val="0"/>
          <w:sz w:val="24"/>
          <w:lang w:eastAsia="zh-CN"/>
        </w:rPr>
        <w:t>。</w:t>
      </w:r>
    </w:p>
    <w:p w14:paraId="6C7C5646">
      <w:pPr>
        <w:ind w:firstLine="480"/>
      </w:pPr>
      <w:r>
        <w:rPr>
          <w:rFonts w:ascii="Times New Roman" w:hAnsi="Times New Roman" w:eastAsia="宋体"/>
          <w:b w:val="0"/>
          <w:sz w:val="24"/>
        </w:rPr>
        <w:t xml:space="preserve">- </w:t>
      </w:r>
      <w:r>
        <w:rPr>
          <w:rFonts w:ascii="Times New Roman" w:hAnsi="Times New Roman" w:eastAsia="宋体"/>
          <w:b/>
          <w:sz w:val="24"/>
        </w:rPr>
        <w:t>第二学年第一学期（2026.09–2026.12）</w:t>
      </w:r>
      <w:r>
        <w:rPr>
          <w:rFonts w:ascii="Times New Roman" w:hAnsi="Times New Roman" w:eastAsia="宋体"/>
          <w:b w:val="0"/>
          <w:sz w:val="24"/>
        </w:rPr>
        <w:t>：研究内容 1 收尾：补充 γ 实验的量化 BER 工作点记录、复核实验数据样本量与关键数值；完成小论文定稿与投稿；启动 RS 外码可重构化改造（研究内容 2 使能性工作）</w:t>
      </w:r>
      <w:r>
        <w:rPr>
          <w:rFonts w:hint="eastAsia"/>
          <w:b w:val="0"/>
          <w:sz w:val="24"/>
          <w:lang w:eastAsia="zh-CN"/>
        </w:rPr>
        <w:t>。</w:t>
      </w:r>
      <w:r>
        <w:rPr>
          <w:rFonts w:ascii="Times New Roman" w:hAnsi="Times New Roman" w:eastAsia="宋体"/>
          <w:b w:val="0"/>
          <w:sz w:val="24"/>
        </w:rPr>
        <w:t>完成 RS 外码可重构化改造；完成研究内容 2 的 SNR/残差统计量构造、自适应映射模型建立与平台运行时实现；进行微动感知相位谱可行性摸底（研究内容 3 预实验）；中期检查。</w:t>
      </w:r>
      <w:r>
        <w:rPr>
          <w:rFonts w:ascii="Times New Roman" w:hAnsi="Times New Roman"/>
          <w:b w:val="0"/>
          <w:sz w:val="24"/>
        </w:rPr>
        <w:t>同期在受控衰减扫描中完成四档外码的激活点曲线刻画（研究内容 2 的基线数据，不新增实验量）。</w:t>
      </w:r>
    </w:p>
    <w:p w14:paraId="7F9D10B3">
      <w:pPr>
        <w:ind w:firstLine="480"/>
      </w:pPr>
      <w:r>
        <w:rPr>
          <w:rFonts w:ascii="Times New Roman" w:hAnsi="Times New Roman" w:eastAsia="宋体"/>
          <w:b w:val="0"/>
          <w:sz w:val="24"/>
        </w:rPr>
        <w:t xml:space="preserve">- </w:t>
      </w:r>
      <w:r>
        <w:rPr>
          <w:rFonts w:ascii="Times New Roman" w:hAnsi="Times New Roman" w:eastAsia="宋体"/>
          <w:b/>
          <w:sz w:val="24"/>
        </w:rPr>
        <w:t>第二学年寒假与第二学期（2027.01–2027.06）</w:t>
      </w:r>
      <w:r>
        <w:rPr>
          <w:rFonts w:ascii="Times New Roman" w:hAnsi="Times New Roman" w:eastAsia="宋体"/>
          <w:b w:val="0"/>
          <w:sz w:val="24"/>
        </w:rPr>
        <w:t>：完成研究内容 2 实测对比实验；完成研究内容 3 标定实验（目标 C：相位噪声底、最小可检测位移）并推进呼吸率检测（目标 B）；企业/校外实践（按培养方案要求安排）。</w:t>
      </w:r>
    </w:p>
    <w:p w14:paraId="251735ED">
      <w:pPr>
        <w:ind w:firstLine="480"/>
      </w:pPr>
      <w:r>
        <w:rPr>
          <w:rFonts w:ascii="Times New Roman" w:hAnsi="Times New Roman" w:eastAsia="宋体"/>
          <w:b w:val="0"/>
          <w:sz w:val="24"/>
        </w:rPr>
        <w:t xml:space="preserve">- </w:t>
      </w:r>
      <w:r>
        <w:rPr>
          <w:rFonts w:ascii="Times New Roman" w:hAnsi="Times New Roman" w:eastAsia="宋体"/>
          <w:b/>
          <w:sz w:val="24"/>
        </w:rPr>
        <w:t>第三学年第一学期（2027.09–2027.12）</w:t>
      </w:r>
      <w:r>
        <w:rPr>
          <w:rFonts w:ascii="Times New Roman" w:hAnsi="Times New Roman" w:eastAsia="宋体"/>
          <w:b w:val="0"/>
          <w:sz w:val="24"/>
        </w:rPr>
        <w:t>：完成研究内容 3 剩余实验（争取双参数提取，目标 A）；整理三研究点全部数据与可复现实验脚本；形成第二篇论文（研究内容 2 或 3）。</w:t>
      </w:r>
    </w:p>
    <w:p w14:paraId="203AB142">
      <w:pPr>
        <w:ind w:firstLine="480"/>
      </w:pPr>
      <w:r>
        <w:rPr>
          <w:rFonts w:ascii="Times New Roman" w:hAnsi="Times New Roman" w:eastAsia="宋体"/>
          <w:b w:val="0"/>
          <w:sz w:val="24"/>
        </w:rPr>
        <w:t xml:space="preserve">- </w:t>
      </w:r>
      <w:r>
        <w:rPr>
          <w:rFonts w:ascii="Times New Roman" w:hAnsi="Times New Roman" w:eastAsia="宋体"/>
          <w:b/>
          <w:sz w:val="24"/>
        </w:rPr>
        <w:t>第三学年第二学期（2028.01–2028.06）</w:t>
      </w:r>
      <w:r>
        <w:rPr>
          <w:rFonts w:ascii="Times New Roman" w:hAnsi="Times New Roman" w:eastAsia="宋体"/>
          <w:b w:val="0"/>
          <w:sz w:val="24"/>
        </w:rPr>
        <w:t>：学位论文撰写与修改、预答辩、送审与答辩。</w:t>
      </w:r>
    </w:p>
    <w:p w14:paraId="049EB2BD">
      <w:r>
        <w:rPr>
          <w:rFonts w:ascii="Times New Roman" w:hAnsi="Times New Roman" w:eastAsia="黑体"/>
          <w:b/>
          <w:sz w:val="25"/>
        </w:rPr>
        <w:t>6.3 预期成果</w:t>
      </w:r>
    </w:p>
    <w:p w14:paraId="4BA9439A">
      <w:pPr>
        <w:ind w:firstLine="480"/>
      </w:pPr>
      <w:r>
        <w:rPr>
          <w:rFonts w:ascii="Times New Roman" w:hAnsi="Times New Roman" w:eastAsia="宋体"/>
          <w:b w:val="0"/>
          <w:sz w:val="24"/>
        </w:rPr>
        <w:t>1. 硕士学位论文一部；</w:t>
      </w:r>
    </w:p>
    <w:p w14:paraId="15724954">
      <w:pPr>
        <w:ind w:firstLine="480"/>
      </w:pPr>
      <w:r>
        <w:rPr>
          <w:rFonts w:ascii="Times New Roman" w:hAnsi="Times New Roman" w:eastAsia="宋体"/>
          <w:b w:val="0"/>
          <w:sz w:val="24"/>
        </w:rPr>
        <w:t>2. 英文期刊/会议论文 1–2 篇（研究点 1 论文已完成撰写；研究点 2 或 3 视结果产出第二篇）；</w:t>
      </w:r>
    </w:p>
    <w:p w14:paraId="23F1D6D6">
      <w:pPr>
        <w:ind w:firstLine="480"/>
      </w:pPr>
      <w:r>
        <w:rPr>
          <w:rFonts w:ascii="Times New Roman" w:hAnsi="Times New Roman" w:eastAsia="宋体"/>
          <w:b w:val="0"/>
          <w:sz w:val="24"/>
        </w:rPr>
        <w:t>3. 一套可复现的开源 ISAC 跨层实验方法与测量数据集（实验脚本、配置与分析工具）；</w:t>
      </w:r>
    </w:p>
    <w:p w14:paraId="336E7443">
      <w:pPr>
        <w:ind w:firstLine="480"/>
        <w:rPr>
          <w:b w:val="0"/>
          <w:bCs w:val="0"/>
        </w:rPr>
      </w:pPr>
      <w:r>
        <w:rPr>
          <w:rFonts w:ascii="Times New Roman" w:hAnsi="Times New Roman" w:eastAsia="宋体"/>
          <w:b w:val="0"/>
          <w:bCs w:val="0"/>
          <w:sz w:val="24"/>
        </w:rPr>
        <w:t>4. 量化技术指标（拟达成）：</w:t>
      </w:r>
    </w:p>
    <w:p w14:paraId="4BF0973F">
      <w:pPr>
        <w:ind w:firstLine="480"/>
      </w:pPr>
      <w:r>
        <w:rPr>
          <w:rFonts w:ascii="Times New Roman" w:hAnsi="Times New Roman" w:eastAsia="宋体"/>
          <w:b w:val="0"/>
          <w:sz w:val="24"/>
        </w:rPr>
        <w:t xml:space="preserve">   - 研究点 1：端到端延迟 ≤ 300 ms 且 10 分钟内无累积趋势；视频速率下有效载荷误码率 ≤ 10⁻⁶；较前期部署配置的有效吞吐提升 ≥ 8%；</w:t>
      </w:r>
    </w:p>
    <w:p w14:paraId="7C52F69D">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r>
        <w:rPr>
          <w:rFonts w:ascii="Times New Roman" w:hAnsi="Times New Roman"/>
          <w:b w:val="0"/>
          <w:sz w:val="24"/>
        </w:rPr>
        <w:t>给出四档外码的激活点曲线与最优切换区段；</w:t>
      </w:r>
    </w:p>
    <w:p w14:paraId="37B345B2">
      <w:pPr>
        <w:ind w:firstLine="480"/>
      </w:pPr>
      <w:r>
        <w:rPr>
          <w:rFonts w:ascii="Times New Roman" w:hAnsi="Times New Roman" w:eastAsia="宋体"/>
          <w:b w:val="0"/>
          <w:sz w:val="24"/>
        </w:rPr>
        <w:t xml:space="preserve">   - 研究点 3：呼吸率估计误差 ≤ 2 次/分（RMSE）；心率估计误差 ≤ 5 次/分（RMSE）；给出系统相位噪声底与最小可检测胸壁位移的实测标定值。</w:t>
      </w:r>
    </w:p>
    <w:p w14:paraId="6F6D649B">
      <w:pPr>
        <w:ind w:firstLine="480"/>
      </w:pPr>
      <w:r>
        <w:rPr>
          <w:rFonts w:ascii="Times New Roman" w:hAnsi="Times New Roman" w:eastAsia="宋体"/>
          <w:b w:val="0"/>
          <w:sz w:val="24"/>
        </w:rPr>
        <w:t xml:space="preserve">   （上述指标为拟达成目标，最终以实验条件与实际结果为准。）</w:t>
      </w:r>
    </w:p>
    <w:p w14:paraId="4DF646D8">
      <w:r>
        <w:rPr>
          <w:rFonts w:ascii="Times New Roman" w:hAnsi="Times New Roman" w:eastAsia="黑体"/>
          <w:b/>
          <w:sz w:val="28"/>
        </w:rPr>
        <w:t>七、校内外实习实践条件及时间安排</w:t>
      </w:r>
    </w:p>
    <w:p w14:paraId="23EFB8AE">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校内条件：</w:t>
      </w:r>
      <w:r>
        <w:rPr>
          <w:rFonts w:hint="eastAsia" w:ascii="Times New Roman" w:hAnsi="Times New Roman" w:eastAsia="宋体"/>
          <w:b w:val="0"/>
          <w:bCs/>
          <w:sz w:val="24"/>
          <w:lang w:val="en-US" w:eastAsia="zh-CN"/>
        </w:rPr>
        <w:t>校内实验室中科研氛围浓厚，同门之间互相学习取长补短，探讨科研任务以及科研技术。周末以及下班后在实验室中进行科研项目推进，注重算法设计以及仿真实验</w:t>
      </w:r>
      <w:r>
        <w:rPr>
          <w:rFonts w:ascii="Times New Roman" w:hAnsi="Times New Roman" w:eastAsia="宋体"/>
          <w:b w:val="0"/>
          <w:bCs/>
          <w:sz w:val="24"/>
        </w:rPr>
        <w:t>。</w:t>
      </w:r>
    </w:p>
    <w:p w14:paraId="5ACCC47A">
      <w:pPr>
        <w:ind w:firstLine="480"/>
      </w:pPr>
      <w:r>
        <w:rPr>
          <w:rFonts w:ascii="Times New Roman" w:hAnsi="Times New Roman" w:eastAsia="宋体"/>
          <w:b w:val="0"/>
          <w:bCs/>
          <w:sz w:val="24"/>
        </w:rPr>
        <w:t>- 校外实践：</w:t>
      </w:r>
      <w:r>
        <w:rPr>
          <w:rFonts w:hint="eastAsia" w:ascii="Times New Roman" w:hAnsi="Times New Roman"/>
          <w:b w:val="0"/>
          <w:bCs/>
          <w:kern w:val="0"/>
          <w:sz w:val="24"/>
          <w:lang w:val="en-US" w:eastAsia="zh-CN"/>
        </w:rPr>
        <w:t>校外实习单位提供项目设备，并且有充足时间完成项目开发。每周4天左右工作天</w:t>
      </w:r>
      <w:r>
        <w:rPr>
          <w:rFonts w:hint="eastAsia" w:ascii="Times New Roman" w:hAnsi="Times New Roman"/>
          <w:b w:val="0"/>
          <w:kern w:val="0"/>
          <w:sz w:val="24"/>
          <w:lang w:val="en-US" w:eastAsia="zh-CN"/>
        </w:rPr>
        <w:t>数，设备更新以及工程实操</w:t>
      </w:r>
      <w:r>
        <w:rPr>
          <w:rFonts w:ascii="Times New Roman" w:hAnsi="Times New Roman" w:eastAsia="宋体"/>
          <w:b w:val="0"/>
          <w:sz w:val="24"/>
        </w:rPr>
        <w:t>。</w:t>
      </w:r>
      <w:r>
        <w:rPr>
          <w:rFonts w:hint="default" w:ascii="Times New Roman" w:hAnsi="Times New Roman"/>
          <w:b w:val="0"/>
          <w:kern w:val="0"/>
          <w:sz w:val="24"/>
          <w:lang w:val="en-US" w:eastAsia="zh-CN"/>
        </w:rPr>
        <w:t>导师与</w:t>
      </w:r>
      <w:r>
        <w:rPr>
          <w:rFonts w:hint="eastAsia" w:ascii="Times New Roman" w:hAnsi="Times New Roman"/>
          <w:b w:val="0"/>
          <w:kern w:val="0"/>
          <w:sz w:val="24"/>
          <w:lang w:val="en-US" w:eastAsia="zh-CN"/>
        </w:rPr>
        <w:t>校外</w:t>
      </w:r>
      <w:r>
        <w:rPr>
          <w:rFonts w:hint="default" w:ascii="Times New Roman" w:hAnsi="Times New Roman"/>
          <w:b w:val="0"/>
          <w:kern w:val="0"/>
          <w:sz w:val="24"/>
          <w:lang w:val="en-US" w:eastAsia="zh-CN"/>
        </w:rPr>
        <w:t>导师在</w:t>
      </w:r>
      <w:r>
        <w:rPr>
          <w:rFonts w:hint="eastAsia" w:ascii="Times New Roman" w:hAnsi="Times New Roman"/>
          <w:b w:val="0"/>
          <w:kern w:val="0"/>
          <w:sz w:val="24"/>
          <w:lang w:val="en-US" w:eastAsia="zh-CN"/>
        </w:rPr>
        <w:t>相关</w:t>
      </w:r>
      <w:r>
        <w:rPr>
          <w:rFonts w:hint="default" w:ascii="Times New Roman" w:hAnsi="Times New Roman"/>
          <w:b w:val="0"/>
          <w:kern w:val="0"/>
          <w:sz w:val="24"/>
          <w:lang w:val="en-US" w:eastAsia="zh-CN"/>
        </w:rPr>
        <w:t>领域研究</w:t>
      </w:r>
      <w:r>
        <w:rPr>
          <w:rFonts w:hint="eastAsia" w:ascii="Times New Roman" w:hAnsi="Times New Roman"/>
          <w:b w:val="0"/>
          <w:kern w:val="0"/>
          <w:sz w:val="24"/>
          <w:lang w:val="en-US" w:eastAsia="zh-CN"/>
        </w:rPr>
        <w:t>颇</w:t>
      </w:r>
      <w:r>
        <w:rPr>
          <w:rFonts w:hint="default" w:ascii="Times New Roman" w:hAnsi="Times New Roman"/>
          <w:b w:val="0"/>
          <w:kern w:val="0"/>
          <w:sz w:val="24"/>
          <w:lang w:val="en-US" w:eastAsia="zh-CN"/>
        </w:rPr>
        <w:t>为深入，</w:t>
      </w:r>
      <w:r>
        <w:rPr>
          <w:rFonts w:hint="eastAsia" w:ascii="Times New Roman" w:hAnsi="Times New Roman"/>
          <w:b w:val="0"/>
          <w:kern w:val="0"/>
          <w:sz w:val="24"/>
          <w:lang w:val="en-US" w:eastAsia="zh-CN"/>
        </w:rPr>
        <w:t>提供许</w:t>
      </w:r>
      <w:r>
        <w:rPr>
          <w:rFonts w:hint="default" w:ascii="Times New Roman" w:hAnsi="Times New Roman"/>
          <w:b w:val="0"/>
          <w:kern w:val="0"/>
          <w:sz w:val="24"/>
          <w:lang w:val="en-US" w:eastAsia="zh-CN"/>
        </w:rPr>
        <w:t>多</w:t>
      </w:r>
      <w:r>
        <w:rPr>
          <w:rFonts w:hint="eastAsia" w:ascii="Times New Roman" w:hAnsi="Times New Roman"/>
          <w:b w:val="0"/>
          <w:kern w:val="0"/>
          <w:sz w:val="24"/>
          <w:lang w:val="en-US" w:eastAsia="zh-CN"/>
        </w:rPr>
        <w:t>学术方面或者工程项目落地方面</w:t>
      </w:r>
      <w:r>
        <w:rPr>
          <w:rFonts w:hint="default" w:ascii="Times New Roman" w:hAnsi="Times New Roman"/>
          <w:b w:val="0"/>
          <w:kern w:val="0"/>
          <w:sz w:val="24"/>
          <w:lang w:val="en-US" w:eastAsia="zh-CN"/>
        </w:rPr>
        <w:t>帮助</w:t>
      </w:r>
      <w:r>
        <w:rPr>
          <w:rFonts w:ascii="Times New Roman" w:hAnsi="Times New Roman" w:eastAsia="宋体"/>
          <w:b w:val="0"/>
          <w:sz w:val="24"/>
        </w:rPr>
        <w:t>。</w:t>
      </w:r>
    </w:p>
    <w:p w14:paraId="29F447B7">
      <w:r>
        <w:rPr>
          <w:rFonts w:ascii="Times New Roman" w:hAnsi="Times New Roman" w:eastAsia="黑体"/>
          <w:b/>
          <w:sz w:val="28"/>
        </w:rPr>
        <w:t>八、论文工作过程中可能遇到的困难、问题及对策</w:t>
      </w:r>
    </w:p>
    <w:p w14:paraId="25139DAA">
      <w:pPr>
        <w:ind w:firstLine="480"/>
        <w:rPr>
          <w:b w:val="0"/>
          <w:bCs w:val="0"/>
        </w:rPr>
      </w:pPr>
      <w:r>
        <w:rPr>
          <w:rFonts w:ascii="Times New Roman" w:hAnsi="Times New Roman" w:eastAsia="宋体"/>
          <w:b w:val="0"/>
          <w:bCs w:val="0"/>
          <w:sz w:val="24"/>
        </w:rPr>
        <w:t>1. 研究点 3 的微弱信号检测风险：商用 SDR 相位噪声较高，心跳信号（毫米级体动）提取存在不确定性。对策：研究内容按递进目标设计（能力基线评估 → 呼吸率检测 → 双参数提取），三级结果均足以支撑独立章节；开题前已完成/进行中相位谱摸底实验，以预实验结果锚定可行层级；必要时引入研究点 2 的自适应机制提升感知窗口 SNR，或利用基站双通道升级改善相参增益。</w:t>
      </w:r>
    </w:p>
    <w:p w14:paraId="5453A05D">
      <w:pPr>
        <w:ind w:firstLine="480"/>
        <w:rPr>
          <w:b w:val="0"/>
          <w:bCs w:val="0"/>
        </w:rPr>
      </w:pPr>
      <w:r>
        <w:rPr>
          <w:rFonts w:ascii="Times New Roman" w:hAnsi="Times New Roman" w:eastAsia="宋体"/>
          <w:b w:val="0"/>
          <w:bCs w:val="0"/>
          <w:sz w:val="24"/>
        </w:rPr>
        <w:t>2. 自适应切换的稳定性风险：参数在线切换可能引起帧同步丢失。对策：切换点限制在帧边界与 GOP 边界，保留回退参数档；以受控扰动实验先验证切换可靠性再上真实信道。</w:t>
      </w:r>
    </w:p>
    <w:p w14:paraId="779F062A">
      <w:pPr>
        <w:ind w:firstLine="480"/>
        <w:rPr>
          <w:b w:val="0"/>
          <w:bCs w:val="0"/>
        </w:rPr>
      </w:pPr>
      <w:r>
        <w:rPr>
          <w:rFonts w:ascii="Times New Roman" w:hAnsi="Times New Roman" w:eastAsia="宋体"/>
          <w:b w:val="0"/>
          <w:bCs w:val="0"/>
          <w:sz w:val="24"/>
        </w:rPr>
        <w:t>3. 双功能并发下的资源冲突：感知加长相参窗可能挤占视频业务的实时性。对策：量化"感知处理窗长度—视频延迟/吞吐"的兼容域，优先在视频 GOP 间隙调度感知任务；该兼容域分析本身即预期成果之一。</w:t>
      </w:r>
    </w:p>
    <w:p w14:paraId="0E793F41">
      <w:pPr>
        <w:ind w:firstLine="480"/>
      </w:pPr>
      <w:r>
        <w:rPr>
          <w:rFonts w:ascii="Times New Roman" w:hAnsi="Times New Roman" w:eastAsia="宋体"/>
          <w:b w:val="0"/>
          <w:bCs w:val="0"/>
          <w:sz w:val="24"/>
        </w:rPr>
        <w:t>4. 实验环境的不确定性：室内多径与人流干扰影响可复现性。对策：固</w:t>
      </w:r>
      <w:r>
        <w:rPr>
          <w:rFonts w:ascii="Times New Roman" w:hAnsi="Times New Roman" w:eastAsia="宋体"/>
          <w:b w:val="0"/>
          <w:sz w:val="24"/>
        </w:rPr>
        <w:t>定实验时段与场景基线，所有测量附带环境记录（距离、天线姿态、CP/速率配置）；关键结论均以多轮重复实验支撑（研究点 1 已按此执行）。</w:t>
      </w:r>
    </w:p>
    <w:p w14:paraId="2C0530F7">
      <w:r>
        <w:rPr>
          <w:rFonts w:ascii="Times New Roman" w:hAnsi="Times New Roman" w:eastAsia="黑体"/>
          <w:b/>
          <w:sz w:val="28"/>
        </w:rPr>
        <w:t>九、参考文献</w:t>
      </w:r>
    </w:p>
    <w:p w14:paraId="337A8F41">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14:paraId="60DE76FC">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14:paraId="1C08FE8E">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14:paraId="253A36E8">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14:paraId="2A8F43B8">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14:paraId="36A98C14">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14:paraId="2F82B075">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14:paraId="4C2B2DBC">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14:paraId="51E788D9">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14:paraId="07334C74">
      <w:pPr>
        <w:ind w:firstLine="480"/>
      </w:pPr>
      <w:r>
        <w:rPr>
          <w:rFonts w:ascii="Times New Roman" w:hAnsi="Times New Roman" w:eastAsia="宋体"/>
          <w:b w:val="0"/>
          <w:sz w:val="24"/>
        </w:rPr>
        <w:t>[9] 尉志青, 冯志勇, 李怡恒, 等. 太赫兹通信感知一体化波形：现状与展望[J]. 通信学报, 2022, 43(1): 3-10.</w:t>
      </w:r>
    </w:p>
    <w:p w14:paraId="3C93FA4D">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14:paraId="3DF65998">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14:paraId="01BDD2B8">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14:paraId="4B543876">
      <w:pPr>
        <w:ind w:firstLine="480"/>
      </w:pPr>
      <w:r>
        <w:rPr>
          <w:rFonts w:ascii="Times New Roman" w:hAnsi="Times New Roman" w:eastAsia="宋体"/>
          <w:b w:val="0"/>
          <w:sz w:val="24"/>
        </w:rPr>
        <w:t>[13] IMMICH R, CERQUEIRA E, CURADO M. Mechanisms for resilient video transmission[J]. arXiv preprint, 2018, arXiv:1808.06722.</w:t>
      </w:r>
    </w:p>
    <w:p w14:paraId="7BE6AE4A">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14:paraId="51491568">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14:paraId="10F8F8B7">
      <w:pPr>
        <w:ind w:firstLine="480"/>
      </w:pPr>
      <w:r>
        <w:rPr>
          <w:rFonts w:ascii="Times New Roman" w:hAnsi="Times New Roman" w:eastAsia="宋体"/>
          <w:b w:val="0"/>
          <w:sz w:val="24"/>
        </w:rPr>
        <w:t>[16] NISHAT K, GNAWALI O, ABDELHADI A. Adaptive bitrate video streaming for wireless nodes: A survey[J]. arXiv preprint, 2020, arXiv:2008.00087.</w:t>
      </w:r>
    </w:p>
    <w:p w14:paraId="6B852A5D">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14:paraId="37B82125">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14:paraId="52F035C0">
      <w:pPr>
        <w:ind w:firstLine="480"/>
      </w:pPr>
      <w:r>
        <w:rPr>
          <w:rFonts w:ascii="Times New Roman" w:hAnsi="Times New Roman" w:eastAsia="宋体"/>
          <w:b w:val="0"/>
          <w:sz w:val="24"/>
        </w:rPr>
        <w:t>[19] LIN S, COSTELLO D J. Error control coding[M]. 2nd ed. Upper Saddle River: Prentice Hall, 2004.</w:t>
      </w:r>
    </w:p>
    <w:p w14:paraId="3D299111">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14:paraId="125DBADE">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14:paraId="5FCEB338">
      <w:pPr>
        <w:ind w:firstLine="480"/>
      </w:pPr>
      <w:r>
        <w:rPr>
          <w:rFonts w:ascii="Times New Roman" w:hAnsi="Times New Roman" w:eastAsia="宋体"/>
          <w:b w:val="0"/>
          <w:sz w:val="24"/>
        </w:rPr>
        <w:t>[22] HSIEH C-H, TSAI T-L, TSENG P-H. Harmonic MUSIC method for mmWave radar-based vital sign estimation[J]. arXiv preprint, 2024, arXiv:2408.01951.</w:t>
      </w:r>
    </w:p>
    <w:p w14:paraId="0716BD9A">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14:paraId="4BD381C8">
      <w:pPr>
        <w:ind w:firstLine="480"/>
      </w:pPr>
      <w:r>
        <w:rPr>
          <w:rFonts w:ascii="Times New Roman" w:hAnsi="Times New Roman" w:eastAsia="宋体"/>
          <w:b w:val="0"/>
          <w:sz w:val="24"/>
        </w:rPr>
        <w:t>[24] 金添, 何元, 李新羽, 宋永坤, 杨阳. 超宽带雷达人体行为感知研究进展[J]. 电子与信息学报, 2022, 44(4): 1147-1155.</w:t>
      </w:r>
    </w:p>
    <w:p w14:paraId="7B310EB5">
      <w:pPr>
        <w:ind w:firstLine="480"/>
      </w:pPr>
      <w:r>
        <w:rPr>
          <w:rFonts w:ascii="Times New Roman" w:hAnsi="Times New Roman" w:eastAsia="宋体"/>
          <w:b w:val="0"/>
          <w:sz w:val="24"/>
        </w:rPr>
        <w:t>[25] 陈小龙, 关键, 何友. 微多普勒理论在海面目标检测中的应用及展望[J]. 雷达学报, 2013, 2(1): 123-134.</w:t>
      </w:r>
    </w:p>
    <w:p w14:paraId="1BBCB479">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14:paraId="1DAB4FF0">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14:paraId="3A753DA1">
      <w:pPr>
        <w:ind w:firstLine="480"/>
      </w:pPr>
      <w:r>
        <w:rPr>
          <w:rFonts w:ascii="Times New Roman" w:hAnsi="Times New Roman" w:eastAsia="宋体"/>
          <w:b w:val="0"/>
          <w:sz w:val="24"/>
        </w:rPr>
        <w:t>[28] WANG P, WANG S, ZHENG M, ZHANG Z, BAO J. Multi-target vital signs detection using millimeter-wave FMCW radar[J]. IEEE Transactions on Instrumentation and Measurement, 2024, 73: 1-13. DOI: 10.1109/TIM.2023.3334360.</w:t>
      </w:r>
    </w:p>
    <w:p w14:paraId="0E8CA77B">
      <w:pPr>
        <w:ind w:firstLine="480"/>
      </w:pPr>
      <w:r>
        <w:rPr>
          <w:rFonts w:ascii="Times New Roman" w:hAnsi="Times New Roman" w:eastAsia="宋体"/>
          <w:b w:val="0"/>
          <w:sz w:val="24"/>
        </w:rPr>
        <w:t>[29] WANG Y, ZHOU S, NIU Z. AI-Assisted Composite ISAC for mmWave Respiration Pattern Recognition[J]. IEEE Transactions on Wireless Communications, 2025, 24(3): 1820-1835.</w:t>
      </w:r>
    </w:p>
    <w:p w14:paraId="458046BE">
      <w:pPr>
        <w:ind w:firstLine="480"/>
      </w:pPr>
      <w:r>
        <w:rPr>
          <w:rFonts w:ascii="Times New Roman" w:hAnsi="Times New Roman" w:eastAsia="宋体"/>
          <w:b w:val="0"/>
          <w:sz w:val="24"/>
        </w:rPr>
        <w:t>[30] ZHOU T, ZHANG H, YU X, et al. Resolving Multi-Target Association in OFDM-based ISAC via Vision-aided Multi-Modal Learning[J]. arXiv preprint, 2026, arXiv:2603.08421.</w:t>
      </w:r>
    </w:p>
    <w:p w14:paraId="6DD16891">
      <w:pPr>
        <w:ind w:firstLine="480"/>
      </w:pPr>
      <w:r>
        <w:rPr>
          <w:rFonts w:ascii="Times New Roman" w:hAnsi="Times New Roman" w:eastAsia="宋体"/>
          <w:b w:val="0"/>
          <w:sz w:val="24"/>
        </w:rPr>
        <w:t>[31] 李晓柏, 周涛, 钱骅, 等. 基于VMD-HHT的OFDM信道状态信息人体微动检测方法[J]. 电子与信息学报, 2025, 47(2): 456-463.</w:t>
      </w:r>
    </w:p>
    <w:p w14:paraId="64940CEC">
      <w:r>
        <w:br w:type="page"/>
      </w:r>
    </w:p>
    <w:p w14:paraId="7078A5EF">
      <w:pPr>
        <w:snapToGrid w:val="0"/>
        <w:spacing w:afterLines="0" w:line="276" w:lineRule="auto"/>
        <w:jc w:val="both"/>
        <w:rPr>
          <w:rFonts w:hint="eastAsia" w:ascii="Times New Roman" w:hAnsi="华文中宋" w:eastAsia="华文中宋"/>
          <w:b/>
          <w:color w:val="000000"/>
          <w:sz w:val="28"/>
          <w:szCs w:val="24"/>
        </w:rPr>
      </w:pPr>
      <w:r>
        <w:rPr>
          <w:rFonts w:hint="eastAsia" w:ascii="Times New Roman" w:hAnsi="华文中宋" w:eastAsia="华文中宋"/>
          <w:b/>
          <w:color w:val="000000"/>
          <w:sz w:val="28"/>
          <w:szCs w:val="24"/>
        </w:rPr>
        <w:t>上海海事大学专业学位硕士学位论文</w:t>
      </w:r>
      <w:r>
        <w:rPr>
          <w:rFonts w:ascii="Times New Roman" w:hAnsi="华文中宋" w:eastAsia="华文中宋"/>
          <w:b/>
          <w:color w:val="000000"/>
          <w:sz w:val="28"/>
          <w:szCs w:val="24"/>
        </w:rPr>
        <w:t>开题报告</w:t>
      </w:r>
    </w:p>
    <w:p w14:paraId="7C610404">
      <w:pPr>
        <w:snapToGrid w:val="0"/>
        <w:spacing w:afterLines="0" w:line="276" w:lineRule="auto"/>
        <w:jc w:val="center"/>
        <w:rPr>
          <w:rFonts w:ascii="Times New Roman" w:hAnsi="华文中宋" w:eastAsia="华文中宋"/>
          <w:b/>
          <w:color w:val="000000"/>
          <w:sz w:val="28"/>
          <w:szCs w:val="24"/>
        </w:rPr>
      </w:pPr>
      <w:r>
        <w:rPr>
          <w:rFonts w:ascii="Times New Roman" w:hAnsi="华文中宋" w:eastAsia="华文中宋"/>
          <w:b/>
          <w:color w:val="000000"/>
          <w:sz w:val="28"/>
          <w:szCs w:val="24"/>
        </w:rPr>
        <w:t>评审意见</w:t>
      </w:r>
      <w:r>
        <w:rPr>
          <w:rFonts w:hint="eastAsia" w:ascii="Times New Roman" w:hAnsi="华文中宋" w:eastAsia="华文中宋"/>
          <w:b/>
          <w:color w:val="000000"/>
          <w:sz w:val="28"/>
          <w:szCs w:val="24"/>
        </w:rPr>
        <w:t>表</w:t>
      </w:r>
    </w:p>
    <w:tbl>
      <w:tblPr>
        <w:tblStyle w:val="3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14:paraId="3C285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2472703B">
            <w:pPr>
              <w:adjustRightInd w:val="0"/>
              <w:snapToGrid w:val="0"/>
              <w:spacing w:afterLines="0" w:line="240" w:lineRule="auto"/>
              <w:jc w:val="center"/>
              <w:rPr>
                <w:rFonts w:ascii="宋体" w:hAnsi="宋体"/>
                <w:color w:val="000000"/>
                <w:szCs w:val="21"/>
              </w:rPr>
            </w:pPr>
            <w:r>
              <w:rPr>
                <w:rFonts w:ascii="宋体" w:hAnsi="宋体"/>
                <w:color w:val="000000"/>
                <w:szCs w:val="21"/>
              </w:rPr>
              <w:t>学  号</w:t>
            </w:r>
          </w:p>
        </w:tc>
        <w:tc>
          <w:tcPr>
            <w:tcW w:w="1725" w:type="dxa"/>
            <w:gridSpan w:val="2"/>
            <w:noWrap w:val="0"/>
            <w:vAlign w:val="center"/>
          </w:tcPr>
          <w:p w14:paraId="2EDC9C2C">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19F58BF">
            <w:pPr>
              <w:adjustRightInd w:val="0"/>
              <w:snapToGrid w:val="0"/>
              <w:spacing w:afterLines="0" w:line="240" w:lineRule="auto"/>
              <w:jc w:val="center"/>
              <w:rPr>
                <w:rFonts w:ascii="宋体" w:hAnsi="宋体"/>
                <w:color w:val="000000"/>
                <w:szCs w:val="21"/>
              </w:rPr>
            </w:pPr>
            <w:r>
              <w:rPr>
                <w:rFonts w:ascii="宋体" w:hAnsi="宋体"/>
                <w:color w:val="000000"/>
                <w:szCs w:val="21"/>
              </w:rPr>
              <w:t>学生姓名</w:t>
            </w:r>
          </w:p>
        </w:tc>
        <w:tc>
          <w:tcPr>
            <w:tcW w:w="1661" w:type="dxa"/>
            <w:noWrap w:val="0"/>
            <w:vAlign w:val="center"/>
          </w:tcPr>
          <w:p w14:paraId="56D7B56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54D6BAD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专业/领域</w:t>
            </w:r>
          </w:p>
        </w:tc>
        <w:tc>
          <w:tcPr>
            <w:tcW w:w="2133" w:type="dxa"/>
            <w:gridSpan w:val="2"/>
            <w:noWrap w:val="0"/>
            <w:vAlign w:val="center"/>
          </w:tcPr>
          <w:p w14:paraId="093D11B5">
            <w:pPr>
              <w:adjustRightInd w:val="0"/>
              <w:snapToGrid w:val="0"/>
              <w:spacing w:afterLines="0" w:line="240" w:lineRule="auto"/>
              <w:jc w:val="center"/>
              <w:rPr>
                <w:rFonts w:ascii="宋体" w:hAnsi="宋体"/>
                <w:color w:val="000000"/>
                <w:szCs w:val="21"/>
              </w:rPr>
            </w:pPr>
          </w:p>
        </w:tc>
      </w:tr>
      <w:tr w14:paraId="1C9F2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2B566AD">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学位论文</w:t>
            </w:r>
          </w:p>
          <w:p w14:paraId="463DD6B0">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类别</w:t>
            </w:r>
          </w:p>
        </w:tc>
        <w:tc>
          <w:tcPr>
            <w:tcW w:w="1725" w:type="dxa"/>
            <w:gridSpan w:val="2"/>
            <w:noWrap w:val="0"/>
            <w:vAlign w:val="center"/>
          </w:tcPr>
          <w:p w14:paraId="17C6649E">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0B4CA57D">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1661" w:type="dxa"/>
            <w:noWrap w:val="0"/>
            <w:vAlign w:val="center"/>
          </w:tcPr>
          <w:p w14:paraId="0639D6CE">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66F339C5">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E_mail</w:t>
            </w:r>
          </w:p>
        </w:tc>
        <w:tc>
          <w:tcPr>
            <w:tcW w:w="2133" w:type="dxa"/>
            <w:gridSpan w:val="2"/>
            <w:noWrap w:val="0"/>
            <w:vAlign w:val="center"/>
          </w:tcPr>
          <w:p w14:paraId="1E8D1A50">
            <w:pPr>
              <w:adjustRightInd w:val="0"/>
              <w:snapToGrid w:val="0"/>
              <w:spacing w:afterLines="0" w:line="240" w:lineRule="auto"/>
              <w:jc w:val="center"/>
              <w:rPr>
                <w:rFonts w:ascii="宋体" w:hAnsi="宋体"/>
                <w:color w:val="000000"/>
                <w:szCs w:val="21"/>
              </w:rPr>
            </w:pPr>
          </w:p>
        </w:tc>
      </w:tr>
      <w:tr w14:paraId="04936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4525" w:type="dxa"/>
            <w:gridSpan w:val="6"/>
            <w:noWrap w:val="0"/>
            <w:vAlign w:val="center"/>
          </w:tcPr>
          <w:p w14:paraId="39F136FE">
            <w:pPr>
              <w:adjustRightInd w:val="0"/>
              <w:snapToGrid w:val="0"/>
              <w:spacing w:afterLines="0" w:line="240" w:lineRule="auto"/>
              <w:jc w:val="center"/>
              <w:rPr>
                <w:rFonts w:ascii="宋体" w:hAnsi="宋体"/>
                <w:color w:val="000000"/>
                <w:szCs w:val="21"/>
              </w:rPr>
            </w:pPr>
            <w:r>
              <w:rPr>
                <w:rFonts w:ascii="宋体" w:hAnsi="宋体"/>
                <w:color w:val="000000"/>
                <w:szCs w:val="21"/>
              </w:rPr>
              <w:t>第一次</w:t>
            </w:r>
            <w:r>
              <w:rPr>
                <w:rFonts w:hint="eastAsia" w:ascii="宋体" w:hAnsi="宋体"/>
                <w:color w:val="000000"/>
                <w:szCs w:val="21"/>
              </w:rPr>
              <w:t>开题</w:t>
            </w:r>
            <w:r>
              <w:rPr>
                <w:rFonts w:ascii="宋体" w:hAnsi="宋体"/>
                <w:color w:val="000000"/>
                <w:szCs w:val="21"/>
              </w:rPr>
              <w:t xml:space="preserve"> □</w:t>
            </w:r>
          </w:p>
        </w:tc>
        <w:tc>
          <w:tcPr>
            <w:tcW w:w="5110" w:type="dxa"/>
            <w:gridSpan w:val="5"/>
            <w:noWrap w:val="0"/>
            <w:vAlign w:val="center"/>
          </w:tcPr>
          <w:p w14:paraId="6CA6BA34">
            <w:pPr>
              <w:adjustRightInd w:val="0"/>
              <w:snapToGrid w:val="0"/>
              <w:spacing w:afterLines="0" w:line="240" w:lineRule="auto"/>
              <w:jc w:val="center"/>
              <w:rPr>
                <w:rFonts w:ascii="宋体" w:hAnsi="宋体"/>
                <w:color w:val="000000"/>
                <w:szCs w:val="21"/>
              </w:rPr>
            </w:pPr>
            <w:r>
              <w:rPr>
                <w:rFonts w:ascii="宋体" w:hAnsi="宋体"/>
                <w:color w:val="000000"/>
                <w:szCs w:val="21"/>
              </w:rPr>
              <w:t>第二次</w:t>
            </w:r>
            <w:r>
              <w:rPr>
                <w:rFonts w:hint="eastAsia" w:ascii="宋体" w:hAnsi="宋体"/>
                <w:color w:val="000000"/>
                <w:szCs w:val="21"/>
              </w:rPr>
              <w:t>开题</w:t>
            </w:r>
            <w:r>
              <w:rPr>
                <w:rFonts w:ascii="宋体" w:hAnsi="宋体"/>
                <w:color w:val="000000"/>
                <w:szCs w:val="21"/>
              </w:rPr>
              <w:t xml:space="preserve"> □</w:t>
            </w:r>
          </w:p>
        </w:tc>
      </w:tr>
      <w:tr w14:paraId="747F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9635" w:type="dxa"/>
            <w:gridSpan w:val="11"/>
            <w:noWrap w:val="0"/>
            <w:vAlign w:val="center"/>
          </w:tcPr>
          <w:p w14:paraId="3A11A3E5">
            <w:pPr>
              <w:adjustRightInd w:val="0"/>
              <w:snapToGrid w:val="0"/>
              <w:spacing w:afterLines="0" w:line="240" w:lineRule="auto"/>
              <w:jc w:val="center"/>
              <w:rPr>
                <w:rFonts w:ascii="宋体" w:hAnsi="宋体"/>
                <w:color w:val="000000"/>
                <w:szCs w:val="21"/>
              </w:rPr>
            </w:pPr>
            <w:r>
              <w:rPr>
                <w:rFonts w:hint="eastAsia" w:ascii="宋体" w:hAnsi="宋体"/>
                <w:color w:val="000000"/>
                <w:sz w:val="24"/>
                <w:szCs w:val="21"/>
              </w:rPr>
              <w:t>实 践 导 师 信 息</w:t>
            </w:r>
          </w:p>
        </w:tc>
      </w:tr>
      <w:tr w14:paraId="624B2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5984AE3">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姓  名</w:t>
            </w:r>
          </w:p>
        </w:tc>
        <w:tc>
          <w:tcPr>
            <w:tcW w:w="1725" w:type="dxa"/>
            <w:gridSpan w:val="2"/>
            <w:noWrap w:val="0"/>
            <w:vAlign w:val="center"/>
          </w:tcPr>
          <w:p w14:paraId="26BE7F52">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58CE946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性  别</w:t>
            </w:r>
          </w:p>
        </w:tc>
        <w:tc>
          <w:tcPr>
            <w:tcW w:w="1661" w:type="dxa"/>
            <w:noWrap w:val="0"/>
            <w:vAlign w:val="center"/>
          </w:tcPr>
          <w:p w14:paraId="091CB80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04C80B27">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职称/职务</w:t>
            </w:r>
          </w:p>
        </w:tc>
        <w:tc>
          <w:tcPr>
            <w:tcW w:w="2133" w:type="dxa"/>
            <w:gridSpan w:val="2"/>
            <w:noWrap w:val="0"/>
            <w:vAlign w:val="center"/>
          </w:tcPr>
          <w:p w14:paraId="387B1D9A">
            <w:pPr>
              <w:adjustRightInd w:val="0"/>
              <w:snapToGrid w:val="0"/>
              <w:spacing w:afterLines="0" w:line="240" w:lineRule="auto"/>
              <w:jc w:val="center"/>
              <w:rPr>
                <w:rFonts w:ascii="宋体" w:hAnsi="宋体"/>
                <w:color w:val="000000"/>
                <w:szCs w:val="21"/>
              </w:rPr>
            </w:pPr>
          </w:p>
        </w:tc>
      </w:tr>
      <w:tr w14:paraId="74B55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76CB547C">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  业</w:t>
            </w:r>
          </w:p>
        </w:tc>
        <w:tc>
          <w:tcPr>
            <w:tcW w:w="1725" w:type="dxa"/>
            <w:gridSpan w:val="2"/>
            <w:noWrap w:val="0"/>
            <w:vAlign w:val="center"/>
          </w:tcPr>
          <w:p w14:paraId="6A580EF1">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8403BE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所在单位</w:t>
            </w:r>
          </w:p>
        </w:tc>
        <w:tc>
          <w:tcPr>
            <w:tcW w:w="1661" w:type="dxa"/>
            <w:noWrap w:val="0"/>
            <w:vAlign w:val="center"/>
          </w:tcPr>
          <w:p w14:paraId="625D320A">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7C7A9E4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2133" w:type="dxa"/>
            <w:gridSpan w:val="2"/>
            <w:noWrap w:val="0"/>
            <w:vAlign w:val="center"/>
          </w:tcPr>
          <w:p w14:paraId="0AC29DFD">
            <w:pPr>
              <w:adjustRightInd w:val="0"/>
              <w:snapToGrid w:val="0"/>
              <w:spacing w:afterLines="0" w:line="240" w:lineRule="auto"/>
              <w:jc w:val="center"/>
              <w:rPr>
                <w:rFonts w:ascii="宋体" w:hAnsi="宋体"/>
                <w:color w:val="000000"/>
                <w:szCs w:val="21"/>
              </w:rPr>
            </w:pPr>
          </w:p>
        </w:tc>
      </w:tr>
      <w:tr w14:paraId="2A0FF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12579F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通讯地址</w:t>
            </w:r>
          </w:p>
        </w:tc>
        <w:tc>
          <w:tcPr>
            <w:tcW w:w="4823" w:type="dxa"/>
            <w:gridSpan w:val="5"/>
            <w:noWrap w:val="0"/>
            <w:vAlign w:val="center"/>
          </w:tcPr>
          <w:p w14:paraId="22CCC689">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14B97E4A">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E_mail</w:t>
            </w:r>
          </w:p>
        </w:tc>
        <w:tc>
          <w:tcPr>
            <w:tcW w:w="2133" w:type="dxa"/>
            <w:gridSpan w:val="2"/>
            <w:noWrap w:val="0"/>
            <w:vAlign w:val="center"/>
          </w:tcPr>
          <w:p w14:paraId="0FBEB2D3">
            <w:pPr>
              <w:adjustRightInd w:val="0"/>
              <w:snapToGrid w:val="0"/>
              <w:spacing w:afterLines="0" w:line="240" w:lineRule="auto"/>
              <w:jc w:val="center"/>
              <w:rPr>
                <w:rFonts w:ascii="宋体" w:hAnsi="宋体"/>
                <w:color w:val="000000"/>
                <w:szCs w:val="21"/>
              </w:rPr>
            </w:pPr>
          </w:p>
        </w:tc>
      </w:tr>
      <w:tr w14:paraId="71E75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4C66D8E8">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校内</w:t>
            </w:r>
            <w:r>
              <w:rPr>
                <w:rFonts w:ascii="宋体" w:hAnsi="宋体"/>
                <w:color w:val="000000"/>
                <w:szCs w:val="21"/>
              </w:rPr>
              <w:t>导师考核意见（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宋体" w:hAnsi="宋体"/>
                <w:color w:val="000000"/>
                <w:szCs w:val="21"/>
              </w:rPr>
              <w:t>）：</w:t>
            </w:r>
          </w:p>
          <w:p w14:paraId="789C2892">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33EB3385">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1BF09BB1">
            <w:pPr>
              <w:tabs>
                <w:tab w:val="left" w:pos="3540"/>
              </w:tabs>
              <w:adjustRightInd w:val="0"/>
              <w:snapToGrid w:val="0"/>
              <w:spacing w:afterLines="0" w:line="276" w:lineRule="auto"/>
              <w:rPr>
                <w:rFonts w:ascii="宋体" w:hAnsi="宋体"/>
                <w:color w:val="000000"/>
                <w:szCs w:val="21"/>
              </w:rPr>
            </w:pPr>
          </w:p>
          <w:p w14:paraId="11D0063B">
            <w:pPr>
              <w:tabs>
                <w:tab w:val="left" w:pos="3540"/>
              </w:tabs>
              <w:adjustRightInd w:val="0"/>
              <w:snapToGrid w:val="0"/>
              <w:spacing w:afterLines="0" w:line="276" w:lineRule="auto"/>
              <w:rPr>
                <w:rFonts w:ascii="宋体" w:hAnsi="宋体"/>
                <w:color w:val="000000"/>
                <w:szCs w:val="21"/>
              </w:rPr>
            </w:pPr>
          </w:p>
          <w:p w14:paraId="7B8869BC">
            <w:pPr>
              <w:tabs>
                <w:tab w:val="left" w:pos="3540"/>
              </w:tabs>
              <w:adjustRightInd w:val="0"/>
              <w:snapToGrid w:val="0"/>
              <w:spacing w:afterLines="0" w:line="276" w:lineRule="auto"/>
              <w:rPr>
                <w:rFonts w:ascii="宋体" w:hAnsi="宋体"/>
                <w:color w:val="000000"/>
                <w:szCs w:val="21"/>
              </w:rPr>
            </w:pPr>
          </w:p>
          <w:p w14:paraId="0170BF6C">
            <w:pPr>
              <w:tabs>
                <w:tab w:val="left" w:pos="3540"/>
              </w:tabs>
              <w:adjustRightInd w:val="0"/>
              <w:snapToGrid w:val="0"/>
              <w:spacing w:afterLines="0" w:line="276" w:lineRule="auto"/>
              <w:rPr>
                <w:rFonts w:ascii="宋体" w:hAnsi="宋体"/>
                <w:color w:val="000000"/>
                <w:szCs w:val="21"/>
              </w:rPr>
            </w:pPr>
          </w:p>
          <w:p w14:paraId="2267D9BA">
            <w:pPr>
              <w:tabs>
                <w:tab w:val="left" w:pos="3540"/>
              </w:tabs>
              <w:adjustRightInd w:val="0"/>
              <w:snapToGrid w:val="0"/>
              <w:spacing w:afterLines="0" w:line="276" w:lineRule="auto"/>
              <w:rPr>
                <w:rFonts w:ascii="宋体" w:hAnsi="宋体"/>
                <w:color w:val="000000"/>
                <w:szCs w:val="21"/>
              </w:rPr>
            </w:pPr>
          </w:p>
          <w:p w14:paraId="5FDD1272">
            <w:pPr>
              <w:tabs>
                <w:tab w:val="left" w:pos="3540"/>
              </w:tabs>
              <w:adjustRightInd w:val="0"/>
              <w:snapToGrid w:val="0"/>
              <w:spacing w:afterLines="0" w:line="276" w:lineRule="auto"/>
              <w:rPr>
                <w:rFonts w:ascii="宋体" w:hAnsi="宋体"/>
                <w:color w:val="000000"/>
                <w:szCs w:val="21"/>
              </w:rPr>
            </w:pPr>
          </w:p>
          <w:p w14:paraId="0DCE7C87">
            <w:pPr>
              <w:tabs>
                <w:tab w:val="left" w:pos="3540"/>
              </w:tabs>
              <w:adjustRightInd w:val="0"/>
              <w:snapToGrid w:val="0"/>
              <w:spacing w:afterLines="0" w:line="276" w:lineRule="auto"/>
              <w:rPr>
                <w:rFonts w:ascii="宋体" w:hAnsi="宋体"/>
                <w:color w:val="000000"/>
                <w:szCs w:val="21"/>
              </w:rPr>
            </w:pPr>
          </w:p>
          <w:p w14:paraId="401D9C48">
            <w:pPr>
              <w:tabs>
                <w:tab w:val="left" w:pos="3540"/>
              </w:tabs>
              <w:adjustRightInd w:val="0"/>
              <w:snapToGrid w:val="0"/>
              <w:spacing w:afterLines="0" w:line="276" w:lineRule="auto"/>
              <w:rPr>
                <w:rFonts w:ascii="宋体" w:hAnsi="宋体"/>
                <w:color w:val="000000"/>
                <w:szCs w:val="21"/>
              </w:rPr>
            </w:pPr>
          </w:p>
          <w:p w14:paraId="41CA5F81">
            <w:pPr>
              <w:tabs>
                <w:tab w:val="left" w:pos="3540"/>
              </w:tabs>
              <w:adjustRightInd w:val="0"/>
              <w:snapToGrid w:val="0"/>
              <w:spacing w:afterLines="0" w:line="276" w:lineRule="auto"/>
              <w:rPr>
                <w:rFonts w:ascii="宋体" w:hAnsi="宋体"/>
                <w:color w:val="000000"/>
                <w:szCs w:val="21"/>
              </w:rPr>
            </w:pPr>
          </w:p>
          <w:p w14:paraId="67298FC2">
            <w:pPr>
              <w:tabs>
                <w:tab w:val="left" w:pos="3540"/>
              </w:tabs>
              <w:adjustRightInd w:val="0"/>
              <w:snapToGrid w:val="0"/>
              <w:spacing w:afterLines="0" w:line="276" w:lineRule="auto"/>
              <w:rPr>
                <w:rFonts w:ascii="宋体" w:hAnsi="宋体"/>
                <w:color w:val="000000"/>
                <w:szCs w:val="21"/>
              </w:rPr>
            </w:pPr>
          </w:p>
          <w:p w14:paraId="522DA20E">
            <w:pPr>
              <w:tabs>
                <w:tab w:val="left" w:pos="3540"/>
              </w:tabs>
              <w:adjustRightInd w:val="0"/>
              <w:snapToGrid w:val="0"/>
              <w:spacing w:afterLines="0" w:line="276" w:lineRule="auto"/>
              <w:rPr>
                <w:rFonts w:ascii="宋体" w:hAnsi="宋体"/>
                <w:color w:val="000000"/>
                <w:szCs w:val="21"/>
              </w:rPr>
            </w:pPr>
          </w:p>
          <w:p w14:paraId="582BA8F5">
            <w:pPr>
              <w:tabs>
                <w:tab w:val="left" w:pos="3540"/>
              </w:tabs>
              <w:adjustRightInd w:val="0"/>
              <w:snapToGrid w:val="0"/>
              <w:spacing w:afterLines="0" w:line="276" w:lineRule="auto"/>
              <w:rPr>
                <w:rFonts w:ascii="宋体" w:hAnsi="宋体"/>
                <w:color w:val="000000"/>
                <w:szCs w:val="21"/>
              </w:rPr>
            </w:pPr>
          </w:p>
          <w:p w14:paraId="14E53A6A">
            <w:pPr>
              <w:tabs>
                <w:tab w:val="left" w:pos="3540"/>
              </w:tabs>
              <w:adjustRightInd w:val="0"/>
              <w:snapToGrid w:val="0"/>
              <w:spacing w:afterLines="0" w:line="276" w:lineRule="auto"/>
              <w:rPr>
                <w:rFonts w:ascii="宋体" w:hAnsi="宋体"/>
                <w:color w:val="000000"/>
                <w:szCs w:val="21"/>
              </w:rPr>
            </w:pPr>
          </w:p>
          <w:p w14:paraId="37C5E714">
            <w:pPr>
              <w:tabs>
                <w:tab w:val="left" w:pos="3540"/>
              </w:tabs>
              <w:adjustRightInd w:val="0"/>
              <w:snapToGrid w:val="0"/>
              <w:spacing w:afterLines="0" w:line="276" w:lineRule="auto"/>
              <w:rPr>
                <w:rFonts w:ascii="宋体" w:hAnsi="宋体"/>
                <w:color w:val="000000"/>
                <w:szCs w:val="21"/>
              </w:rPr>
            </w:pPr>
          </w:p>
          <w:p w14:paraId="0B467F0A">
            <w:pPr>
              <w:tabs>
                <w:tab w:val="left" w:pos="3540"/>
              </w:tabs>
              <w:adjustRightInd w:val="0"/>
              <w:snapToGrid w:val="0"/>
              <w:spacing w:afterLines="0" w:line="276" w:lineRule="auto"/>
              <w:rPr>
                <w:rFonts w:ascii="宋体" w:hAnsi="宋体"/>
                <w:color w:val="000000"/>
                <w:szCs w:val="21"/>
              </w:rPr>
            </w:pPr>
          </w:p>
          <w:p w14:paraId="53826402">
            <w:pPr>
              <w:tabs>
                <w:tab w:val="left" w:pos="3540"/>
              </w:tabs>
              <w:adjustRightInd w:val="0"/>
              <w:snapToGrid w:val="0"/>
              <w:spacing w:afterLines="0" w:line="276" w:lineRule="auto"/>
              <w:rPr>
                <w:rFonts w:ascii="宋体" w:hAnsi="宋体"/>
                <w:color w:val="000000"/>
                <w:szCs w:val="21"/>
              </w:rPr>
            </w:pPr>
          </w:p>
          <w:p w14:paraId="5CE05BDE">
            <w:pPr>
              <w:tabs>
                <w:tab w:val="left" w:pos="3540"/>
              </w:tabs>
              <w:adjustRightInd w:val="0"/>
              <w:snapToGrid w:val="0"/>
              <w:spacing w:afterLines="0" w:line="276" w:lineRule="auto"/>
              <w:rPr>
                <w:rFonts w:ascii="宋体" w:hAnsi="宋体"/>
                <w:color w:val="000000"/>
                <w:szCs w:val="21"/>
              </w:rPr>
            </w:pPr>
          </w:p>
          <w:p w14:paraId="09B2A943">
            <w:pPr>
              <w:tabs>
                <w:tab w:val="left" w:pos="3540"/>
              </w:tabs>
              <w:adjustRightInd w:val="0"/>
              <w:snapToGrid w:val="0"/>
              <w:spacing w:afterLines="0" w:line="276" w:lineRule="auto"/>
              <w:rPr>
                <w:rFonts w:ascii="宋体" w:hAnsi="宋体"/>
                <w:color w:val="000000"/>
                <w:szCs w:val="21"/>
              </w:rPr>
            </w:pPr>
          </w:p>
          <w:p w14:paraId="5C2E99F3">
            <w:pPr>
              <w:tabs>
                <w:tab w:val="left" w:pos="3540"/>
              </w:tabs>
              <w:adjustRightInd w:val="0"/>
              <w:snapToGrid w:val="0"/>
              <w:spacing w:afterLines="0" w:line="276" w:lineRule="auto"/>
              <w:rPr>
                <w:rFonts w:ascii="宋体" w:hAnsi="宋体"/>
                <w:color w:val="000000"/>
                <w:szCs w:val="21"/>
              </w:rPr>
            </w:pPr>
          </w:p>
          <w:p w14:paraId="03B4E36F">
            <w:pPr>
              <w:tabs>
                <w:tab w:val="left" w:pos="3540"/>
              </w:tabs>
              <w:adjustRightInd w:val="0"/>
              <w:snapToGrid w:val="0"/>
              <w:spacing w:afterLines="0" w:line="276" w:lineRule="auto"/>
              <w:rPr>
                <w:rFonts w:ascii="宋体" w:hAnsi="宋体"/>
                <w:color w:val="000000"/>
                <w:szCs w:val="21"/>
              </w:rPr>
            </w:pPr>
          </w:p>
          <w:p w14:paraId="6A13CBF8">
            <w:pPr>
              <w:tabs>
                <w:tab w:val="left" w:pos="3540"/>
              </w:tabs>
              <w:adjustRightInd w:val="0"/>
              <w:snapToGrid w:val="0"/>
              <w:spacing w:afterLines="0" w:line="276" w:lineRule="auto"/>
              <w:rPr>
                <w:rFonts w:ascii="宋体" w:hAnsi="宋体"/>
                <w:color w:val="000000"/>
                <w:szCs w:val="21"/>
              </w:rPr>
            </w:pPr>
          </w:p>
          <w:p w14:paraId="4FCDE3B9">
            <w:pPr>
              <w:tabs>
                <w:tab w:val="left" w:pos="3540"/>
              </w:tabs>
              <w:adjustRightInd w:val="0"/>
              <w:snapToGrid w:val="0"/>
              <w:spacing w:afterLines="0" w:line="276" w:lineRule="auto"/>
              <w:rPr>
                <w:rFonts w:ascii="宋体" w:hAnsi="宋体"/>
                <w:color w:val="000000"/>
                <w:szCs w:val="21"/>
              </w:rPr>
            </w:pPr>
          </w:p>
          <w:p w14:paraId="3FD7009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0255143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年    月    日</w:t>
            </w:r>
          </w:p>
          <w:p w14:paraId="27E2F633">
            <w:pPr>
              <w:adjustRightInd w:val="0"/>
              <w:snapToGrid w:val="0"/>
              <w:spacing w:afterLines="0" w:line="276" w:lineRule="auto"/>
              <w:rPr>
                <w:rFonts w:ascii="宋体" w:hAnsi="宋体"/>
                <w:color w:val="000000"/>
                <w:szCs w:val="21"/>
              </w:rPr>
            </w:pPr>
          </w:p>
        </w:tc>
      </w:tr>
      <w:tr w14:paraId="50214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7761A875">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实践</w:t>
            </w:r>
            <w:r>
              <w:rPr>
                <w:rFonts w:ascii="宋体" w:hAnsi="宋体"/>
                <w:color w:val="000000"/>
                <w:szCs w:val="21"/>
              </w:rPr>
              <w:t>导师考核意见（</w:t>
            </w:r>
            <w:r>
              <w:rPr>
                <w:rFonts w:hint="eastAsia" w:ascii="Times New Roman"/>
                <w:color w:val="000000"/>
                <w:szCs w:val="24"/>
              </w:rPr>
              <w:t>对学位论文工作及开题报告撰写情况、企业实践实习情况及计划、学习和工作态度等进行考查，给出考核成绩和具体改进意见和建议</w:t>
            </w:r>
            <w:r>
              <w:rPr>
                <w:rFonts w:ascii="宋体" w:hAnsi="宋体"/>
                <w:color w:val="000000"/>
                <w:szCs w:val="21"/>
              </w:rPr>
              <w:t>）：</w:t>
            </w:r>
          </w:p>
          <w:p w14:paraId="23E8CCE0">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16AFE6A8">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4DE526A0">
            <w:pPr>
              <w:tabs>
                <w:tab w:val="left" w:pos="3540"/>
              </w:tabs>
              <w:adjustRightInd w:val="0"/>
              <w:snapToGrid w:val="0"/>
              <w:spacing w:afterLines="0" w:line="276" w:lineRule="auto"/>
              <w:rPr>
                <w:rFonts w:ascii="宋体" w:hAnsi="宋体"/>
                <w:color w:val="000000"/>
                <w:szCs w:val="21"/>
              </w:rPr>
            </w:pPr>
          </w:p>
          <w:p w14:paraId="581643E8">
            <w:pPr>
              <w:tabs>
                <w:tab w:val="left" w:pos="3540"/>
              </w:tabs>
              <w:adjustRightInd w:val="0"/>
              <w:snapToGrid w:val="0"/>
              <w:spacing w:afterLines="0" w:line="276" w:lineRule="auto"/>
              <w:rPr>
                <w:rFonts w:ascii="宋体" w:hAnsi="宋体"/>
                <w:color w:val="000000"/>
                <w:szCs w:val="21"/>
              </w:rPr>
            </w:pPr>
          </w:p>
          <w:p w14:paraId="50EECC56">
            <w:pPr>
              <w:tabs>
                <w:tab w:val="left" w:pos="3540"/>
              </w:tabs>
              <w:adjustRightInd w:val="0"/>
              <w:snapToGrid w:val="0"/>
              <w:spacing w:afterLines="0" w:line="276" w:lineRule="auto"/>
              <w:rPr>
                <w:rFonts w:ascii="宋体" w:hAnsi="宋体"/>
                <w:color w:val="000000"/>
                <w:szCs w:val="21"/>
              </w:rPr>
            </w:pPr>
          </w:p>
          <w:p w14:paraId="101BF4A1">
            <w:pPr>
              <w:tabs>
                <w:tab w:val="left" w:pos="3540"/>
              </w:tabs>
              <w:adjustRightInd w:val="0"/>
              <w:snapToGrid w:val="0"/>
              <w:spacing w:afterLines="0" w:line="276" w:lineRule="auto"/>
              <w:rPr>
                <w:rFonts w:ascii="宋体" w:hAnsi="宋体"/>
                <w:color w:val="000000"/>
                <w:szCs w:val="21"/>
              </w:rPr>
            </w:pPr>
          </w:p>
          <w:p w14:paraId="3AF518B2">
            <w:pPr>
              <w:tabs>
                <w:tab w:val="left" w:pos="3540"/>
              </w:tabs>
              <w:adjustRightInd w:val="0"/>
              <w:snapToGrid w:val="0"/>
              <w:spacing w:afterLines="0" w:line="276" w:lineRule="auto"/>
              <w:rPr>
                <w:rFonts w:ascii="宋体" w:hAnsi="宋体"/>
                <w:color w:val="000000"/>
                <w:szCs w:val="21"/>
              </w:rPr>
            </w:pPr>
          </w:p>
          <w:p w14:paraId="3C617187">
            <w:pPr>
              <w:tabs>
                <w:tab w:val="left" w:pos="3540"/>
              </w:tabs>
              <w:adjustRightInd w:val="0"/>
              <w:snapToGrid w:val="0"/>
              <w:spacing w:afterLines="0" w:line="276" w:lineRule="auto"/>
              <w:rPr>
                <w:rFonts w:ascii="宋体" w:hAnsi="宋体"/>
                <w:color w:val="000000"/>
                <w:szCs w:val="21"/>
              </w:rPr>
            </w:pPr>
          </w:p>
          <w:p w14:paraId="0879EF52">
            <w:pPr>
              <w:tabs>
                <w:tab w:val="left" w:pos="3540"/>
              </w:tabs>
              <w:adjustRightInd w:val="0"/>
              <w:snapToGrid w:val="0"/>
              <w:spacing w:afterLines="0" w:line="276" w:lineRule="auto"/>
              <w:rPr>
                <w:rFonts w:ascii="宋体" w:hAnsi="宋体"/>
                <w:color w:val="000000"/>
                <w:szCs w:val="21"/>
              </w:rPr>
            </w:pPr>
          </w:p>
          <w:p w14:paraId="1BDD0969">
            <w:pPr>
              <w:tabs>
                <w:tab w:val="left" w:pos="3540"/>
              </w:tabs>
              <w:adjustRightInd w:val="0"/>
              <w:snapToGrid w:val="0"/>
              <w:spacing w:afterLines="0" w:line="276" w:lineRule="auto"/>
              <w:rPr>
                <w:rFonts w:ascii="宋体" w:hAnsi="宋体"/>
                <w:color w:val="000000"/>
                <w:szCs w:val="21"/>
              </w:rPr>
            </w:pPr>
          </w:p>
          <w:p w14:paraId="52A7BBF8">
            <w:pPr>
              <w:tabs>
                <w:tab w:val="left" w:pos="3540"/>
              </w:tabs>
              <w:adjustRightInd w:val="0"/>
              <w:snapToGrid w:val="0"/>
              <w:spacing w:afterLines="0" w:line="276" w:lineRule="auto"/>
              <w:rPr>
                <w:rFonts w:ascii="宋体" w:hAnsi="宋体"/>
                <w:color w:val="000000"/>
                <w:szCs w:val="21"/>
              </w:rPr>
            </w:pPr>
          </w:p>
          <w:p w14:paraId="57F00CB8">
            <w:pPr>
              <w:tabs>
                <w:tab w:val="left" w:pos="3540"/>
              </w:tabs>
              <w:adjustRightInd w:val="0"/>
              <w:snapToGrid w:val="0"/>
              <w:spacing w:afterLines="0" w:line="276" w:lineRule="auto"/>
              <w:rPr>
                <w:rFonts w:ascii="宋体" w:hAnsi="宋体"/>
                <w:color w:val="000000"/>
                <w:szCs w:val="21"/>
              </w:rPr>
            </w:pPr>
          </w:p>
          <w:p w14:paraId="1E2DFF82">
            <w:pPr>
              <w:tabs>
                <w:tab w:val="left" w:pos="3540"/>
              </w:tabs>
              <w:adjustRightInd w:val="0"/>
              <w:snapToGrid w:val="0"/>
              <w:spacing w:afterLines="0" w:line="276" w:lineRule="auto"/>
              <w:rPr>
                <w:rFonts w:ascii="宋体" w:hAnsi="宋体"/>
                <w:color w:val="000000"/>
                <w:szCs w:val="21"/>
              </w:rPr>
            </w:pPr>
          </w:p>
          <w:p w14:paraId="432BBDAC">
            <w:pPr>
              <w:tabs>
                <w:tab w:val="left" w:pos="3540"/>
              </w:tabs>
              <w:adjustRightInd w:val="0"/>
              <w:snapToGrid w:val="0"/>
              <w:spacing w:afterLines="0" w:line="276" w:lineRule="auto"/>
              <w:rPr>
                <w:rFonts w:ascii="宋体" w:hAnsi="宋体"/>
                <w:color w:val="000000"/>
                <w:szCs w:val="21"/>
              </w:rPr>
            </w:pPr>
          </w:p>
          <w:p w14:paraId="514354DA">
            <w:pPr>
              <w:tabs>
                <w:tab w:val="left" w:pos="3540"/>
              </w:tabs>
              <w:adjustRightInd w:val="0"/>
              <w:snapToGrid w:val="0"/>
              <w:spacing w:afterLines="0" w:line="276" w:lineRule="auto"/>
              <w:rPr>
                <w:rFonts w:ascii="宋体" w:hAnsi="宋体"/>
                <w:color w:val="000000"/>
                <w:szCs w:val="21"/>
              </w:rPr>
            </w:pPr>
          </w:p>
          <w:p w14:paraId="3467CFDA">
            <w:pPr>
              <w:tabs>
                <w:tab w:val="left" w:pos="3540"/>
              </w:tabs>
              <w:adjustRightInd w:val="0"/>
              <w:snapToGrid w:val="0"/>
              <w:spacing w:afterLines="0" w:line="276" w:lineRule="auto"/>
              <w:rPr>
                <w:rFonts w:ascii="宋体" w:hAnsi="宋体"/>
                <w:color w:val="000000"/>
                <w:szCs w:val="21"/>
              </w:rPr>
            </w:pPr>
          </w:p>
          <w:p w14:paraId="0D4B9C6F">
            <w:pPr>
              <w:tabs>
                <w:tab w:val="left" w:pos="3540"/>
              </w:tabs>
              <w:adjustRightInd w:val="0"/>
              <w:snapToGrid w:val="0"/>
              <w:spacing w:afterLines="0" w:line="276" w:lineRule="auto"/>
              <w:rPr>
                <w:rFonts w:ascii="宋体" w:hAnsi="宋体"/>
                <w:color w:val="000000"/>
                <w:szCs w:val="21"/>
              </w:rPr>
            </w:pPr>
          </w:p>
          <w:p w14:paraId="418C1094">
            <w:pPr>
              <w:tabs>
                <w:tab w:val="left" w:pos="3540"/>
              </w:tabs>
              <w:adjustRightInd w:val="0"/>
              <w:snapToGrid w:val="0"/>
              <w:spacing w:afterLines="0" w:line="276" w:lineRule="auto"/>
              <w:rPr>
                <w:rFonts w:ascii="宋体" w:hAnsi="宋体"/>
                <w:color w:val="000000"/>
                <w:szCs w:val="21"/>
              </w:rPr>
            </w:pPr>
          </w:p>
          <w:p w14:paraId="564FBF8D">
            <w:pPr>
              <w:tabs>
                <w:tab w:val="left" w:pos="3540"/>
              </w:tabs>
              <w:adjustRightInd w:val="0"/>
              <w:snapToGrid w:val="0"/>
              <w:spacing w:afterLines="0" w:line="276" w:lineRule="auto"/>
              <w:rPr>
                <w:rFonts w:ascii="宋体" w:hAnsi="宋体"/>
                <w:color w:val="000000"/>
                <w:szCs w:val="21"/>
              </w:rPr>
            </w:pPr>
          </w:p>
          <w:p w14:paraId="67262A79">
            <w:pPr>
              <w:tabs>
                <w:tab w:val="left" w:pos="3540"/>
              </w:tabs>
              <w:adjustRightInd w:val="0"/>
              <w:snapToGrid w:val="0"/>
              <w:spacing w:afterLines="0" w:line="276" w:lineRule="auto"/>
              <w:rPr>
                <w:rFonts w:ascii="宋体" w:hAnsi="宋体"/>
                <w:color w:val="000000"/>
                <w:szCs w:val="21"/>
              </w:rPr>
            </w:pPr>
          </w:p>
          <w:p w14:paraId="2EF1609D">
            <w:pPr>
              <w:tabs>
                <w:tab w:val="left" w:pos="3540"/>
              </w:tabs>
              <w:adjustRightInd w:val="0"/>
              <w:snapToGrid w:val="0"/>
              <w:spacing w:afterLines="0" w:line="276" w:lineRule="auto"/>
              <w:rPr>
                <w:rFonts w:ascii="宋体" w:hAnsi="宋体"/>
                <w:color w:val="000000"/>
                <w:szCs w:val="21"/>
              </w:rPr>
            </w:pPr>
          </w:p>
          <w:p w14:paraId="5A07DA97">
            <w:pPr>
              <w:tabs>
                <w:tab w:val="left" w:pos="3540"/>
              </w:tabs>
              <w:adjustRightInd w:val="0"/>
              <w:snapToGrid w:val="0"/>
              <w:spacing w:afterLines="0" w:line="276" w:lineRule="auto"/>
              <w:rPr>
                <w:rFonts w:ascii="宋体" w:hAnsi="宋体"/>
                <w:color w:val="000000"/>
                <w:szCs w:val="21"/>
              </w:rPr>
            </w:pPr>
          </w:p>
          <w:p w14:paraId="5EF434F1">
            <w:pPr>
              <w:tabs>
                <w:tab w:val="left" w:pos="3540"/>
              </w:tabs>
              <w:adjustRightInd w:val="0"/>
              <w:snapToGrid w:val="0"/>
              <w:spacing w:afterLines="0" w:line="276" w:lineRule="auto"/>
              <w:rPr>
                <w:rFonts w:ascii="宋体" w:hAnsi="宋体"/>
                <w:color w:val="000000"/>
                <w:szCs w:val="21"/>
              </w:rPr>
            </w:pPr>
          </w:p>
          <w:p w14:paraId="69BB3E62">
            <w:pPr>
              <w:tabs>
                <w:tab w:val="left" w:pos="3540"/>
              </w:tabs>
              <w:adjustRightInd w:val="0"/>
              <w:snapToGrid w:val="0"/>
              <w:spacing w:afterLines="0" w:line="276" w:lineRule="auto"/>
              <w:rPr>
                <w:rFonts w:ascii="宋体" w:hAnsi="宋体"/>
                <w:color w:val="000000"/>
                <w:szCs w:val="21"/>
              </w:rPr>
            </w:pPr>
          </w:p>
          <w:p w14:paraId="5AAE0574">
            <w:pPr>
              <w:tabs>
                <w:tab w:val="left" w:pos="3540"/>
              </w:tabs>
              <w:adjustRightInd w:val="0"/>
              <w:snapToGrid w:val="0"/>
              <w:spacing w:afterLines="0" w:line="276" w:lineRule="auto"/>
              <w:rPr>
                <w:rFonts w:ascii="宋体" w:hAnsi="宋体"/>
                <w:color w:val="000000"/>
                <w:szCs w:val="21"/>
              </w:rPr>
            </w:pPr>
          </w:p>
          <w:p w14:paraId="27DB0788">
            <w:pPr>
              <w:tabs>
                <w:tab w:val="left" w:pos="3540"/>
              </w:tabs>
              <w:adjustRightInd w:val="0"/>
              <w:snapToGrid w:val="0"/>
              <w:spacing w:afterLines="0" w:line="276" w:lineRule="auto"/>
              <w:rPr>
                <w:rFonts w:ascii="宋体" w:hAnsi="宋体"/>
                <w:color w:val="000000"/>
                <w:szCs w:val="21"/>
              </w:rPr>
            </w:pPr>
          </w:p>
          <w:p w14:paraId="6DAD844D">
            <w:pPr>
              <w:tabs>
                <w:tab w:val="left" w:pos="3540"/>
              </w:tabs>
              <w:adjustRightInd w:val="0"/>
              <w:snapToGrid w:val="0"/>
              <w:spacing w:afterLines="0" w:line="276" w:lineRule="auto"/>
              <w:rPr>
                <w:rFonts w:ascii="宋体" w:hAnsi="宋体"/>
                <w:color w:val="000000"/>
                <w:szCs w:val="21"/>
              </w:rPr>
            </w:pPr>
          </w:p>
          <w:p w14:paraId="1C9BF2E5">
            <w:pPr>
              <w:tabs>
                <w:tab w:val="left" w:pos="3540"/>
              </w:tabs>
              <w:adjustRightInd w:val="0"/>
              <w:snapToGrid w:val="0"/>
              <w:spacing w:afterLines="0" w:line="276" w:lineRule="auto"/>
              <w:rPr>
                <w:rFonts w:ascii="宋体" w:hAnsi="宋体"/>
                <w:color w:val="000000"/>
                <w:szCs w:val="21"/>
              </w:rPr>
            </w:pPr>
          </w:p>
          <w:p w14:paraId="3E196063">
            <w:pPr>
              <w:tabs>
                <w:tab w:val="left" w:pos="3540"/>
              </w:tabs>
              <w:adjustRightInd w:val="0"/>
              <w:snapToGrid w:val="0"/>
              <w:spacing w:afterLines="0" w:line="276" w:lineRule="auto"/>
              <w:rPr>
                <w:rFonts w:ascii="宋体" w:hAnsi="宋体"/>
                <w:color w:val="000000"/>
                <w:szCs w:val="21"/>
              </w:rPr>
            </w:pPr>
          </w:p>
          <w:p w14:paraId="319D76BD">
            <w:pPr>
              <w:tabs>
                <w:tab w:val="left" w:pos="3540"/>
              </w:tabs>
              <w:adjustRightInd w:val="0"/>
              <w:snapToGrid w:val="0"/>
              <w:spacing w:afterLines="0" w:line="276" w:lineRule="auto"/>
              <w:rPr>
                <w:rFonts w:ascii="宋体" w:hAnsi="宋体"/>
                <w:color w:val="000000"/>
                <w:szCs w:val="21"/>
              </w:rPr>
            </w:pPr>
          </w:p>
          <w:p w14:paraId="3C3F153F">
            <w:pPr>
              <w:tabs>
                <w:tab w:val="left" w:pos="3540"/>
              </w:tabs>
              <w:adjustRightInd w:val="0"/>
              <w:snapToGrid w:val="0"/>
              <w:spacing w:afterLines="0" w:line="276" w:lineRule="auto"/>
              <w:rPr>
                <w:rFonts w:ascii="宋体" w:hAnsi="宋体"/>
                <w:color w:val="000000"/>
                <w:szCs w:val="21"/>
              </w:rPr>
            </w:pPr>
          </w:p>
          <w:p w14:paraId="2177E157">
            <w:pPr>
              <w:tabs>
                <w:tab w:val="left" w:pos="3540"/>
              </w:tabs>
              <w:adjustRightInd w:val="0"/>
              <w:snapToGrid w:val="0"/>
              <w:spacing w:afterLines="0" w:line="276" w:lineRule="auto"/>
              <w:rPr>
                <w:rFonts w:ascii="宋体" w:hAnsi="宋体"/>
                <w:color w:val="000000"/>
                <w:szCs w:val="21"/>
              </w:rPr>
            </w:pPr>
          </w:p>
          <w:p w14:paraId="21C0A324">
            <w:pPr>
              <w:tabs>
                <w:tab w:val="left" w:pos="3540"/>
              </w:tabs>
              <w:adjustRightInd w:val="0"/>
              <w:snapToGrid w:val="0"/>
              <w:spacing w:afterLines="0" w:line="276" w:lineRule="auto"/>
              <w:rPr>
                <w:rFonts w:ascii="宋体" w:hAnsi="宋体"/>
                <w:color w:val="000000"/>
                <w:szCs w:val="21"/>
              </w:rPr>
            </w:pPr>
          </w:p>
          <w:p w14:paraId="0528A8E5">
            <w:pPr>
              <w:tabs>
                <w:tab w:val="left" w:pos="3540"/>
              </w:tabs>
              <w:adjustRightInd w:val="0"/>
              <w:snapToGrid w:val="0"/>
              <w:spacing w:afterLines="0" w:line="276" w:lineRule="auto"/>
              <w:rPr>
                <w:rFonts w:ascii="宋体" w:hAnsi="宋体"/>
                <w:color w:val="000000"/>
                <w:szCs w:val="21"/>
              </w:rPr>
            </w:pPr>
          </w:p>
          <w:p w14:paraId="303A7B53">
            <w:pPr>
              <w:tabs>
                <w:tab w:val="left" w:pos="3540"/>
              </w:tabs>
              <w:adjustRightInd w:val="0"/>
              <w:snapToGrid w:val="0"/>
              <w:spacing w:afterLines="0" w:line="276" w:lineRule="auto"/>
              <w:rPr>
                <w:rFonts w:ascii="宋体" w:hAnsi="宋体"/>
                <w:color w:val="000000"/>
                <w:szCs w:val="21"/>
              </w:rPr>
            </w:pPr>
          </w:p>
          <w:p w14:paraId="65CF7700">
            <w:pPr>
              <w:tabs>
                <w:tab w:val="left" w:pos="3540"/>
              </w:tabs>
              <w:adjustRightInd w:val="0"/>
              <w:snapToGrid w:val="0"/>
              <w:spacing w:afterLines="0" w:line="276" w:lineRule="auto"/>
              <w:rPr>
                <w:rFonts w:ascii="宋体" w:hAnsi="宋体"/>
                <w:color w:val="000000"/>
                <w:szCs w:val="21"/>
              </w:rPr>
            </w:pPr>
          </w:p>
          <w:p w14:paraId="0C9357BD">
            <w:pPr>
              <w:tabs>
                <w:tab w:val="left" w:pos="3540"/>
              </w:tabs>
              <w:adjustRightInd w:val="0"/>
              <w:snapToGrid w:val="0"/>
              <w:spacing w:afterLines="0" w:line="276" w:lineRule="auto"/>
              <w:rPr>
                <w:rFonts w:ascii="宋体" w:hAnsi="宋体"/>
                <w:color w:val="000000"/>
                <w:szCs w:val="21"/>
              </w:rPr>
            </w:pPr>
          </w:p>
          <w:p w14:paraId="09690403">
            <w:pPr>
              <w:tabs>
                <w:tab w:val="left" w:pos="3540"/>
              </w:tabs>
              <w:adjustRightInd w:val="0"/>
              <w:snapToGrid w:val="0"/>
              <w:spacing w:afterLines="0" w:line="276" w:lineRule="auto"/>
              <w:rPr>
                <w:rFonts w:ascii="宋体" w:hAnsi="宋体"/>
                <w:color w:val="000000"/>
                <w:szCs w:val="21"/>
              </w:rPr>
            </w:pPr>
          </w:p>
          <w:p w14:paraId="688A80DD">
            <w:pPr>
              <w:tabs>
                <w:tab w:val="left" w:pos="3540"/>
              </w:tabs>
              <w:adjustRightInd w:val="0"/>
              <w:snapToGrid w:val="0"/>
              <w:spacing w:afterLines="0" w:line="276" w:lineRule="auto"/>
              <w:rPr>
                <w:rFonts w:ascii="宋体" w:hAnsi="宋体"/>
                <w:color w:val="000000"/>
                <w:szCs w:val="21"/>
              </w:rPr>
            </w:pPr>
          </w:p>
          <w:p w14:paraId="50BB2944">
            <w:pPr>
              <w:tabs>
                <w:tab w:val="left" w:pos="3540"/>
              </w:tabs>
              <w:adjustRightInd w:val="0"/>
              <w:snapToGrid w:val="0"/>
              <w:spacing w:afterLines="0" w:line="276" w:lineRule="auto"/>
              <w:rPr>
                <w:rFonts w:ascii="宋体" w:hAnsi="宋体"/>
                <w:color w:val="000000"/>
                <w:szCs w:val="21"/>
              </w:rPr>
            </w:pPr>
          </w:p>
          <w:p w14:paraId="42CC3629">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5257AE9A">
            <w:pPr>
              <w:wordWrap w:val="0"/>
              <w:adjustRightInd w:val="0"/>
              <w:snapToGrid w:val="0"/>
              <w:spacing w:afterLines="0" w:line="276" w:lineRule="auto"/>
              <w:jc w:val="right"/>
              <w:rPr>
                <w:rFonts w:ascii="宋体" w:hAnsi="宋体"/>
                <w:color w:val="000000"/>
                <w:szCs w:val="21"/>
              </w:rPr>
            </w:pPr>
            <w:r>
              <w:rPr>
                <w:rFonts w:ascii="宋体" w:hAnsi="宋体"/>
                <w:color w:val="000000"/>
                <w:szCs w:val="21"/>
              </w:rPr>
              <w:t xml:space="preserve">                                         年    月    日</w:t>
            </w:r>
          </w:p>
        </w:tc>
      </w:tr>
      <w:tr w14:paraId="2BC3A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654" w:type="dxa"/>
            <w:vMerge w:val="restart"/>
            <w:noWrap w:val="0"/>
            <w:vAlign w:val="center"/>
          </w:tcPr>
          <w:p w14:paraId="53788704">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评</w:t>
            </w:r>
          </w:p>
          <w:p w14:paraId="74558A7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议</w:t>
            </w:r>
          </w:p>
          <w:p w14:paraId="38A6B516">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专</w:t>
            </w:r>
          </w:p>
          <w:p w14:paraId="0C40B9AA">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家</w:t>
            </w:r>
          </w:p>
          <w:p w14:paraId="6D5D3DD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组</w:t>
            </w:r>
          </w:p>
        </w:tc>
        <w:tc>
          <w:tcPr>
            <w:tcW w:w="709" w:type="dxa"/>
            <w:noWrap w:val="0"/>
            <w:vAlign w:val="top"/>
          </w:tcPr>
          <w:p w14:paraId="3CBD412E">
            <w:pPr>
              <w:adjustRightInd w:val="0"/>
              <w:snapToGrid w:val="0"/>
              <w:spacing w:afterLines="0" w:line="276" w:lineRule="auto"/>
              <w:jc w:val="center"/>
              <w:rPr>
                <w:rFonts w:ascii="宋体" w:hAnsi="宋体"/>
                <w:color w:val="000000"/>
                <w:szCs w:val="21"/>
              </w:rPr>
            </w:pPr>
          </w:p>
        </w:tc>
        <w:tc>
          <w:tcPr>
            <w:tcW w:w="1701" w:type="dxa"/>
            <w:noWrap w:val="0"/>
            <w:vAlign w:val="top"/>
          </w:tcPr>
          <w:p w14:paraId="490654BD">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姓名</w:t>
            </w:r>
          </w:p>
        </w:tc>
        <w:tc>
          <w:tcPr>
            <w:tcW w:w="1417" w:type="dxa"/>
            <w:gridSpan w:val="2"/>
            <w:noWrap w:val="0"/>
            <w:vAlign w:val="top"/>
          </w:tcPr>
          <w:p w14:paraId="13373D53">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职称</w:t>
            </w:r>
          </w:p>
        </w:tc>
        <w:tc>
          <w:tcPr>
            <w:tcW w:w="2268" w:type="dxa"/>
            <w:gridSpan w:val="3"/>
            <w:noWrap w:val="0"/>
            <w:vAlign w:val="top"/>
          </w:tcPr>
          <w:p w14:paraId="2E863A9E">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学科专业</w:t>
            </w:r>
          </w:p>
        </w:tc>
        <w:tc>
          <w:tcPr>
            <w:tcW w:w="1509" w:type="dxa"/>
            <w:gridSpan w:val="2"/>
            <w:noWrap w:val="0"/>
            <w:vAlign w:val="top"/>
          </w:tcPr>
          <w:p w14:paraId="1731970B">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是否博导</w:t>
            </w:r>
          </w:p>
        </w:tc>
        <w:tc>
          <w:tcPr>
            <w:tcW w:w="1377" w:type="dxa"/>
            <w:noWrap w:val="0"/>
            <w:vAlign w:val="top"/>
          </w:tcPr>
          <w:p w14:paraId="3010BE04">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签字</w:t>
            </w:r>
          </w:p>
        </w:tc>
      </w:tr>
      <w:tr w14:paraId="78A82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67513893">
            <w:pPr>
              <w:adjustRightInd w:val="0"/>
              <w:snapToGrid w:val="0"/>
              <w:spacing w:afterLines="0" w:line="276" w:lineRule="auto"/>
              <w:jc w:val="center"/>
              <w:rPr>
                <w:rFonts w:ascii="宋体" w:hAnsi="宋体"/>
                <w:color w:val="000000"/>
                <w:szCs w:val="21"/>
              </w:rPr>
            </w:pPr>
          </w:p>
        </w:tc>
        <w:tc>
          <w:tcPr>
            <w:tcW w:w="709" w:type="dxa"/>
            <w:noWrap w:val="0"/>
            <w:vAlign w:val="center"/>
          </w:tcPr>
          <w:p w14:paraId="54D25A88">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组长</w:t>
            </w:r>
          </w:p>
        </w:tc>
        <w:tc>
          <w:tcPr>
            <w:tcW w:w="1701" w:type="dxa"/>
            <w:noWrap w:val="0"/>
            <w:vAlign w:val="top"/>
          </w:tcPr>
          <w:p w14:paraId="3666448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D67D11E">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B10A69">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4599568F">
            <w:pPr>
              <w:adjustRightInd w:val="0"/>
              <w:snapToGrid w:val="0"/>
              <w:spacing w:afterLines="0" w:line="276" w:lineRule="auto"/>
              <w:jc w:val="center"/>
              <w:rPr>
                <w:rFonts w:ascii="宋体" w:hAnsi="宋体"/>
                <w:color w:val="000000"/>
                <w:szCs w:val="21"/>
              </w:rPr>
            </w:pPr>
          </w:p>
        </w:tc>
        <w:tc>
          <w:tcPr>
            <w:tcW w:w="1377" w:type="dxa"/>
            <w:noWrap w:val="0"/>
            <w:vAlign w:val="top"/>
          </w:tcPr>
          <w:p w14:paraId="29CA7385">
            <w:pPr>
              <w:adjustRightInd w:val="0"/>
              <w:snapToGrid w:val="0"/>
              <w:spacing w:afterLines="0" w:line="276" w:lineRule="auto"/>
              <w:jc w:val="center"/>
              <w:rPr>
                <w:rFonts w:ascii="宋体" w:hAnsi="宋体"/>
                <w:color w:val="000000"/>
                <w:szCs w:val="21"/>
              </w:rPr>
            </w:pPr>
          </w:p>
        </w:tc>
      </w:tr>
      <w:tr w14:paraId="5124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2D40BE25">
            <w:pPr>
              <w:adjustRightInd w:val="0"/>
              <w:snapToGrid w:val="0"/>
              <w:spacing w:afterLines="0" w:line="276" w:lineRule="auto"/>
              <w:jc w:val="center"/>
              <w:rPr>
                <w:rFonts w:ascii="宋体" w:hAnsi="宋体"/>
                <w:color w:val="000000"/>
                <w:szCs w:val="21"/>
              </w:rPr>
            </w:pPr>
          </w:p>
        </w:tc>
        <w:tc>
          <w:tcPr>
            <w:tcW w:w="709" w:type="dxa"/>
            <w:vMerge w:val="restart"/>
            <w:noWrap w:val="0"/>
            <w:vAlign w:val="center"/>
          </w:tcPr>
          <w:p w14:paraId="7A9C9E02">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成员</w:t>
            </w:r>
          </w:p>
        </w:tc>
        <w:tc>
          <w:tcPr>
            <w:tcW w:w="1701" w:type="dxa"/>
            <w:noWrap w:val="0"/>
            <w:vAlign w:val="top"/>
          </w:tcPr>
          <w:p w14:paraId="4F1BD58E">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2593CC90">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579B62A">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DDE9C5F">
            <w:pPr>
              <w:adjustRightInd w:val="0"/>
              <w:snapToGrid w:val="0"/>
              <w:spacing w:afterLines="0" w:line="276" w:lineRule="auto"/>
              <w:jc w:val="center"/>
              <w:rPr>
                <w:rFonts w:ascii="宋体" w:hAnsi="宋体"/>
                <w:color w:val="000000"/>
                <w:szCs w:val="21"/>
              </w:rPr>
            </w:pPr>
          </w:p>
        </w:tc>
        <w:tc>
          <w:tcPr>
            <w:tcW w:w="1377" w:type="dxa"/>
            <w:noWrap w:val="0"/>
            <w:vAlign w:val="top"/>
          </w:tcPr>
          <w:p w14:paraId="67EB504A">
            <w:pPr>
              <w:adjustRightInd w:val="0"/>
              <w:snapToGrid w:val="0"/>
              <w:spacing w:afterLines="0" w:line="276" w:lineRule="auto"/>
              <w:jc w:val="center"/>
              <w:rPr>
                <w:rFonts w:ascii="宋体" w:hAnsi="宋体"/>
                <w:color w:val="000000"/>
                <w:szCs w:val="21"/>
              </w:rPr>
            </w:pPr>
          </w:p>
        </w:tc>
      </w:tr>
      <w:tr w14:paraId="15A7F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79F677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5136A471">
            <w:pPr>
              <w:adjustRightInd w:val="0"/>
              <w:snapToGrid w:val="0"/>
              <w:spacing w:afterLines="0" w:line="276" w:lineRule="auto"/>
              <w:jc w:val="center"/>
              <w:rPr>
                <w:rFonts w:ascii="宋体" w:hAnsi="宋体"/>
                <w:color w:val="000000"/>
                <w:szCs w:val="21"/>
              </w:rPr>
            </w:pPr>
          </w:p>
        </w:tc>
        <w:tc>
          <w:tcPr>
            <w:tcW w:w="1701" w:type="dxa"/>
            <w:noWrap w:val="0"/>
            <w:vAlign w:val="top"/>
          </w:tcPr>
          <w:p w14:paraId="6EEB7235">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4C8BE87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EDF6655">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F24B385">
            <w:pPr>
              <w:adjustRightInd w:val="0"/>
              <w:snapToGrid w:val="0"/>
              <w:spacing w:afterLines="0" w:line="276" w:lineRule="auto"/>
              <w:jc w:val="center"/>
              <w:rPr>
                <w:rFonts w:ascii="宋体" w:hAnsi="宋体"/>
                <w:color w:val="000000"/>
                <w:szCs w:val="21"/>
              </w:rPr>
            </w:pPr>
          </w:p>
        </w:tc>
        <w:tc>
          <w:tcPr>
            <w:tcW w:w="1377" w:type="dxa"/>
            <w:noWrap w:val="0"/>
            <w:vAlign w:val="top"/>
          </w:tcPr>
          <w:p w14:paraId="6221DD40">
            <w:pPr>
              <w:adjustRightInd w:val="0"/>
              <w:snapToGrid w:val="0"/>
              <w:spacing w:afterLines="0" w:line="276" w:lineRule="auto"/>
              <w:jc w:val="center"/>
              <w:rPr>
                <w:rFonts w:ascii="宋体" w:hAnsi="宋体"/>
                <w:color w:val="000000"/>
                <w:szCs w:val="21"/>
              </w:rPr>
            </w:pPr>
          </w:p>
        </w:tc>
      </w:tr>
      <w:tr w14:paraId="1886E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B3160E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ECDFB17">
            <w:pPr>
              <w:adjustRightInd w:val="0"/>
              <w:snapToGrid w:val="0"/>
              <w:spacing w:afterLines="0" w:line="276" w:lineRule="auto"/>
              <w:jc w:val="center"/>
              <w:rPr>
                <w:rFonts w:ascii="宋体" w:hAnsi="宋体"/>
                <w:color w:val="000000"/>
                <w:szCs w:val="21"/>
              </w:rPr>
            </w:pPr>
          </w:p>
        </w:tc>
        <w:tc>
          <w:tcPr>
            <w:tcW w:w="1701" w:type="dxa"/>
            <w:noWrap w:val="0"/>
            <w:vAlign w:val="top"/>
          </w:tcPr>
          <w:p w14:paraId="450454BD">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503111EA">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9966024">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038C355">
            <w:pPr>
              <w:adjustRightInd w:val="0"/>
              <w:snapToGrid w:val="0"/>
              <w:spacing w:afterLines="0" w:line="276" w:lineRule="auto"/>
              <w:jc w:val="center"/>
              <w:rPr>
                <w:rFonts w:ascii="宋体" w:hAnsi="宋体"/>
                <w:color w:val="000000"/>
                <w:szCs w:val="21"/>
              </w:rPr>
            </w:pPr>
          </w:p>
        </w:tc>
        <w:tc>
          <w:tcPr>
            <w:tcW w:w="1377" w:type="dxa"/>
            <w:noWrap w:val="0"/>
            <w:vAlign w:val="top"/>
          </w:tcPr>
          <w:p w14:paraId="03E3AAF1">
            <w:pPr>
              <w:adjustRightInd w:val="0"/>
              <w:snapToGrid w:val="0"/>
              <w:spacing w:afterLines="0" w:line="276" w:lineRule="auto"/>
              <w:jc w:val="center"/>
              <w:rPr>
                <w:rFonts w:ascii="宋体" w:hAnsi="宋体"/>
                <w:color w:val="000000"/>
                <w:szCs w:val="21"/>
              </w:rPr>
            </w:pPr>
          </w:p>
        </w:tc>
      </w:tr>
      <w:tr w14:paraId="219D9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70EA20A3">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978B928">
            <w:pPr>
              <w:adjustRightInd w:val="0"/>
              <w:snapToGrid w:val="0"/>
              <w:spacing w:afterLines="0" w:line="276" w:lineRule="auto"/>
              <w:jc w:val="center"/>
              <w:rPr>
                <w:rFonts w:ascii="宋体" w:hAnsi="宋体"/>
                <w:color w:val="000000"/>
                <w:szCs w:val="21"/>
              </w:rPr>
            </w:pPr>
          </w:p>
        </w:tc>
        <w:tc>
          <w:tcPr>
            <w:tcW w:w="1701" w:type="dxa"/>
            <w:noWrap w:val="0"/>
            <w:vAlign w:val="top"/>
          </w:tcPr>
          <w:p w14:paraId="201C1553">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1C8322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778FB873">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02BD01BF">
            <w:pPr>
              <w:adjustRightInd w:val="0"/>
              <w:snapToGrid w:val="0"/>
              <w:spacing w:afterLines="0" w:line="276" w:lineRule="auto"/>
              <w:jc w:val="center"/>
              <w:rPr>
                <w:rFonts w:ascii="宋体" w:hAnsi="宋体"/>
                <w:color w:val="000000"/>
                <w:szCs w:val="21"/>
              </w:rPr>
            </w:pPr>
          </w:p>
        </w:tc>
        <w:tc>
          <w:tcPr>
            <w:tcW w:w="1377" w:type="dxa"/>
            <w:noWrap w:val="0"/>
            <w:vAlign w:val="top"/>
          </w:tcPr>
          <w:p w14:paraId="193EAD17">
            <w:pPr>
              <w:adjustRightInd w:val="0"/>
              <w:snapToGrid w:val="0"/>
              <w:spacing w:afterLines="0" w:line="276" w:lineRule="auto"/>
              <w:jc w:val="center"/>
              <w:rPr>
                <w:rFonts w:ascii="宋体" w:hAnsi="宋体"/>
                <w:color w:val="000000"/>
                <w:szCs w:val="21"/>
              </w:rPr>
            </w:pPr>
          </w:p>
        </w:tc>
      </w:tr>
      <w:tr w14:paraId="0DB65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0225E16D">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FBD266A">
            <w:pPr>
              <w:adjustRightInd w:val="0"/>
              <w:snapToGrid w:val="0"/>
              <w:spacing w:afterLines="0" w:line="276" w:lineRule="auto"/>
              <w:jc w:val="center"/>
              <w:rPr>
                <w:rFonts w:ascii="宋体" w:hAnsi="宋体"/>
                <w:color w:val="000000"/>
                <w:szCs w:val="21"/>
              </w:rPr>
            </w:pPr>
          </w:p>
        </w:tc>
        <w:tc>
          <w:tcPr>
            <w:tcW w:w="1701" w:type="dxa"/>
            <w:noWrap w:val="0"/>
            <w:vAlign w:val="top"/>
          </w:tcPr>
          <w:p w14:paraId="57CBBB4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1C05FD01">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DB475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7BBEE14">
            <w:pPr>
              <w:adjustRightInd w:val="0"/>
              <w:snapToGrid w:val="0"/>
              <w:spacing w:afterLines="0" w:line="276" w:lineRule="auto"/>
              <w:jc w:val="center"/>
              <w:rPr>
                <w:rFonts w:ascii="宋体" w:hAnsi="宋体"/>
                <w:color w:val="000000"/>
                <w:szCs w:val="21"/>
              </w:rPr>
            </w:pPr>
          </w:p>
        </w:tc>
        <w:tc>
          <w:tcPr>
            <w:tcW w:w="1377" w:type="dxa"/>
            <w:noWrap w:val="0"/>
            <w:vAlign w:val="top"/>
          </w:tcPr>
          <w:p w14:paraId="30E87B1A">
            <w:pPr>
              <w:adjustRightInd w:val="0"/>
              <w:snapToGrid w:val="0"/>
              <w:spacing w:afterLines="0" w:line="276" w:lineRule="auto"/>
              <w:jc w:val="center"/>
              <w:rPr>
                <w:rFonts w:ascii="宋体" w:hAnsi="宋体"/>
                <w:color w:val="000000"/>
                <w:szCs w:val="21"/>
              </w:rPr>
            </w:pPr>
          </w:p>
        </w:tc>
      </w:tr>
      <w:tr w14:paraId="34EAD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5CDD0AC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E33D02C">
            <w:pPr>
              <w:adjustRightInd w:val="0"/>
              <w:snapToGrid w:val="0"/>
              <w:spacing w:afterLines="0" w:line="276" w:lineRule="auto"/>
              <w:jc w:val="center"/>
              <w:rPr>
                <w:rFonts w:ascii="宋体" w:hAnsi="宋体"/>
                <w:color w:val="000000"/>
                <w:szCs w:val="21"/>
              </w:rPr>
            </w:pPr>
          </w:p>
        </w:tc>
        <w:tc>
          <w:tcPr>
            <w:tcW w:w="1701" w:type="dxa"/>
            <w:noWrap w:val="0"/>
            <w:vAlign w:val="top"/>
          </w:tcPr>
          <w:p w14:paraId="1A3FB4D7">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0A063A83">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5ABDC78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6A276390">
            <w:pPr>
              <w:adjustRightInd w:val="0"/>
              <w:snapToGrid w:val="0"/>
              <w:spacing w:afterLines="0" w:line="276" w:lineRule="auto"/>
              <w:jc w:val="center"/>
              <w:rPr>
                <w:rFonts w:ascii="宋体" w:hAnsi="宋体"/>
                <w:color w:val="000000"/>
                <w:szCs w:val="21"/>
              </w:rPr>
            </w:pPr>
          </w:p>
        </w:tc>
        <w:tc>
          <w:tcPr>
            <w:tcW w:w="1377" w:type="dxa"/>
            <w:noWrap w:val="0"/>
            <w:vAlign w:val="top"/>
          </w:tcPr>
          <w:p w14:paraId="005FAD45">
            <w:pPr>
              <w:adjustRightInd w:val="0"/>
              <w:snapToGrid w:val="0"/>
              <w:spacing w:afterLines="0" w:line="276" w:lineRule="auto"/>
              <w:jc w:val="center"/>
              <w:rPr>
                <w:rFonts w:ascii="宋体" w:hAnsi="宋体"/>
                <w:color w:val="000000"/>
                <w:szCs w:val="21"/>
              </w:rPr>
            </w:pPr>
          </w:p>
        </w:tc>
      </w:tr>
      <w:tr w14:paraId="0E3E8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4" w:hRule="atLeast"/>
          <w:jc w:val="center"/>
        </w:trPr>
        <w:tc>
          <w:tcPr>
            <w:tcW w:w="9635" w:type="dxa"/>
            <w:gridSpan w:val="11"/>
            <w:noWrap w:val="0"/>
            <w:vAlign w:val="top"/>
          </w:tcPr>
          <w:p w14:paraId="690902C1">
            <w:pPr>
              <w:spacing w:afterLines="0" w:line="276" w:lineRule="auto"/>
              <w:ind w:firstLine="480" w:firstLineChars="200"/>
              <w:rPr>
                <w:rFonts w:ascii="Times New Roman" w:hAnsi="Times New Roman"/>
                <w:color w:val="000000"/>
                <w:szCs w:val="24"/>
              </w:rPr>
            </w:pPr>
            <w:r>
              <w:rPr>
                <w:rFonts w:ascii="Times New Roman"/>
                <w:color w:val="000000"/>
                <w:szCs w:val="24"/>
              </w:rPr>
              <w:t>专家组评审意见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Times New Roman"/>
                <w:color w:val="000000"/>
                <w:szCs w:val="24"/>
              </w:rPr>
              <w:t>：</w:t>
            </w:r>
          </w:p>
          <w:p w14:paraId="799DF953">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选题是否属于本学科领域（含交叉学科）：</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6EB10325">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选题是否符合专业学位论文要求：</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7814D167">
            <w:pPr>
              <w:numPr>
                <w:ilvl w:val="0"/>
                <w:numId w:val="9"/>
              </w:numPr>
              <w:adjustRightInd w:val="0"/>
              <w:snapToGrid w:val="0"/>
              <w:spacing w:afterLines="0" w:line="276" w:lineRule="auto"/>
              <w:rPr>
                <w:rFonts w:ascii="Times New Roman" w:hAnsi="Times New Roman"/>
                <w:color w:val="000000"/>
                <w:szCs w:val="21"/>
              </w:rPr>
            </w:pPr>
            <w:r>
              <w:rPr>
                <w:rFonts w:ascii="Times New Roman" w:hAnsi="宋体"/>
                <w:color w:val="000000"/>
                <w:szCs w:val="21"/>
              </w:rPr>
              <w:t>考核成绩：</w:t>
            </w:r>
            <w:r>
              <w:rPr>
                <w:rFonts w:ascii="宋体" w:hAnsi="宋体"/>
                <w:color w:val="000000"/>
                <w:szCs w:val="21"/>
              </w:rPr>
              <w:t>□ 通过，□ 不通过</w:t>
            </w:r>
          </w:p>
          <w:p w14:paraId="22EB9F84">
            <w:pPr>
              <w:numPr>
                <w:ilvl w:val="0"/>
                <w:numId w:val="9"/>
              </w:numPr>
              <w:adjustRightInd w:val="0"/>
              <w:snapToGrid w:val="0"/>
              <w:spacing w:afterLines="0" w:line="276" w:lineRule="auto"/>
              <w:rPr>
                <w:rFonts w:ascii="Times New Roman" w:hAnsi="Times New Roman"/>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Times New Roman" w:hAnsi="宋体"/>
                <w:color w:val="000000"/>
                <w:szCs w:val="21"/>
              </w:rPr>
              <w:t>：</w:t>
            </w:r>
          </w:p>
          <w:p w14:paraId="035EE78A">
            <w:pPr>
              <w:tabs>
                <w:tab w:val="left" w:pos="3090"/>
              </w:tabs>
              <w:spacing w:afterLines="0" w:line="276" w:lineRule="auto"/>
              <w:rPr>
                <w:rFonts w:ascii="Times New Roman" w:hAnsi="Times New Roman"/>
                <w:color w:val="000000"/>
                <w:szCs w:val="24"/>
              </w:rPr>
            </w:pPr>
            <w:r>
              <w:rPr>
                <w:rFonts w:ascii="Times New Roman" w:hAnsi="Times New Roman"/>
                <w:color w:val="000000"/>
                <w:szCs w:val="24"/>
              </w:rPr>
              <w:tab/>
            </w:r>
          </w:p>
          <w:p w14:paraId="122A9FE0">
            <w:pPr>
              <w:spacing w:afterLines="0" w:line="276" w:lineRule="auto"/>
              <w:rPr>
                <w:rFonts w:ascii="Times New Roman" w:hAnsi="Times New Roman"/>
                <w:color w:val="000000"/>
                <w:szCs w:val="24"/>
              </w:rPr>
            </w:pPr>
          </w:p>
          <w:p w14:paraId="55546279">
            <w:pPr>
              <w:spacing w:afterLines="0" w:line="276" w:lineRule="auto"/>
              <w:rPr>
                <w:rFonts w:ascii="Times New Roman" w:hAnsi="Times New Roman"/>
                <w:color w:val="000000"/>
                <w:szCs w:val="24"/>
              </w:rPr>
            </w:pPr>
          </w:p>
          <w:p w14:paraId="1C19B5DD">
            <w:pPr>
              <w:spacing w:afterLines="0" w:line="276" w:lineRule="auto"/>
              <w:rPr>
                <w:rFonts w:ascii="Times New Roman" w:hAnsi="Times New Roman"/>
                <w:color w:val="000000"/>
                <w:szCs w:val="24"/>
              </w:rPr>
            </w:pPr>
          </w:p>
          <w:p w14:paraId="67A666B6">
            <w:pPr>
              <w:spacing w:afterLines="0" w:line="276" w:lineRule="auto"/>
              <w:rPr>
                <w:rFonts w:ascii="Times New Roman" w:hAnsi="Times New Roman"/>
                <w:color w:val="000000"/>
                <w:szCs w:val="24"/>
              </w:rPr>
            </w:pPr>
          </w:p>
          <w:p w14:paraId="5AF5D8EA">
            <w:pPr>
              <w:spacing w:afterLines="0" w:line="276" w:lineRule="auto"/>
              <w:rPr>
                <w:rFonts w:ascii="Times New Roman" w:hAnsi="Times New Roman"/>
                <w:color w:val="000000"/>
                <w:szCs w:val="24"/>
              </w:rPr>
            </w:pPr>
          </w:p>
          <w:p w14:paraId="233F348F">
            <w:pPr>
              <w:spacing w:afterLines="0" w:line="276" w:lineRule="auto"/>
              <w:rPr>
                <w:rFonts w:ascii="Times New Roman" w:hAnsi="Times New Roman"/>
                <w:color w:val="000000"/>
                <w:szCs w:val="24"/>
              </w:rPr>
            </w:pPr>
          </w:p>
          <w:p w14:paraId="22AAC862">
            <w:pPr>
              <w:spacing w:afterLines="0" w:line="276" w:lineRule="auto"/>
              <w:rPr>
                <w:rFonts w:ascii="Times New Roman" w:hAnsi="Times New Roman"/>
                <w:color w:val="000000"/>
                <w:szCs w:val="24"/>
              </w:rPr>
            </w:pPr>
          </w:p>
          <w:p w14:paraId="49EE7F8F">
            <w:pPr>
              <w:spacing w:afterLines="0" w:line="276" w:lineRule="auto"/>
              <w:rPr>
                <w:rFonts w:ascii="Times New Roman" w:hAnsi="Times New Roman"/>
                <w:color w:val="000000"/>
                <w:szCs w:val="24"/>
              </w:rPr>
            </w:pPr>
          </w:p>
          <w:p w14:paraId="7AF44969">
            <w:pPr>
              <w:spacing w:afterLines="0" w:line="276" w:lineRule="auto"/>
              <w:rPr>
                <w:rFonts w:ascii="Times New Roman" w:hAnsi="Times New Roman"/>
                <w:color w:val="000000"/>
                <w:szCs w:val="24"/>
              </w:rPr>
            </w:pPr>
          </w:p>
          <w:p w14:paraId="210C384C">
            <w:pPr>
              <w:spacing w:afterLines="0" w:line="276" w:lineRule="auto"/>
              <w:rPr>
                <w:rFonts w:ascii="Times New Roman" w:hAnsi="Times New Roman"/>
                <w:color w:val="000000"/>
                <w:szCs w:val="24"/>
              </w:rPr>
            </w:pPr>
          </w:p>
          <w:p w14:paraId="4E779729">
            <w:pPr>
              <w:spacing w:afterLines="0" w:line="276" w:lineRule="auto"/>
              <w:rPr>
                <w:rFonts w:ascii="Times New Roman" w:hAnsi="Times New Roman"/>
                <w:color w:val="000000"/>
                <w:szCs w:val="24"/>
              </w:rPr>
            </w:pPr>
          </w:p>
          <w:p w14:paraId="2CD24ED8">
            <w:pPr>
              <w:spacing w:afterLines="0" w:line="276" w:lineRule="auto"/>
              <w:rPr>
                <w:rFonts w:ascii="Times New Roman" w:hAnsi="Times New Roman"/>
                <w:color w:val="000000"/>
                <w:szCs w:val="24"/>
              </w:rPr>
            </w:pPr>
          </w:p>
          <w:p w14:paraId="3A36C806">
            <w:pPr>
              <w:spacing w:afterLines="0" w:line="276" w:lineRule="auto"/>
              <w:rPr>
                <w:rFonts w:ascii="Times New Roman" w:hAnsi="Times New Roman"/>
                <w:color w:val="000000"/>
                <w:szCs w:val="24"/>
              </w:rPr>
            </w:pPr>
          </w:p>
          <w:p w14:paraId="3220385B">
            <w:pPr>
              <w:spacing w:afterLines="0" w:line="276" w:lineRule="auto"/>
              <w:rPr>
                <w:rFonts w:ascii="Times New Roman" w:hAnsi="Times New Roman"/>
                <w:color w:val="000000"/>
                <w:szCs w:val="24"/>
              </w:rPr>
            </w:pPr>
          </w:p>
          <w:p w14:paraId="39D93AF4">
            <w:pPr>
              <w:spacing w:afterLines="0" w:line="276" w:lineRule="auto"/>
              <w:rPr>
                <w:rFonts w:ascii="Times New Roman" w:hAnsi="Times New Roman"/>
                <w:color w:val="000000"/>
                <w:szCs w:val="24"/>
              </w:rPr>
            </w:pPr>
          </w:p>
          <w:p w14:paraId="57635479">
            <w:pPr>
              <w:spacing w:afterLines="0" w:line="276" w:lineRule="auto"/>
              <w:rPr>
                <w:rFonts w:ascii="Times New Roman" w:hAnsi="Times New Roman"/>
                <w:color w:val="000000"/>
                <w:szCs w:val="24"/>
              </w:rPr>
            </w:pPr>
          </w:p>
          <w:p w14:paraId="3EFFDFA6">
            <w:pPr>
              <w:spacing w:afterLines="0" w:line="276" w:lineRule="auto"/>
              <w:rPr>
                <w:rFonts w:ascii="Times New Roman" w:hAnsi="Times New Roman"/>
                <w:color w:val="000000"/>
                <w:szCs w:val="24"/>
              </w:rPr>
            </w:pPr>
          </w:p>
          <w:p w14:paraId="7E036C7D">
            <w:pPr>
              <w:spacing w:afterLines="0" w:line="276" w:lineRule="auto"/>
              <w:rPr>
                <w:rFonts w:ascii="Times New Roman" w:hAnsi="Times New Roman"/>
                <w:color w:val="000000"/>
                <w:szCs w:val="24"/>
              </w:rPr>
            </w:pPr>
          </w:p>
          <w:p w14:paraId="364F8461">
            <w:pPr>
              <w:spacing w:afterLines="0" w:line="276" w:lineRule="auto"/>
              <w:rPr>
                <w:rFonts w:ascii="Times New Roman" w:hAnsi="Times New Roman"/>
                <w:color w:val="000000"/>
                <w:szCs w:val="24"/>
              </w:rPr>
            </w:pPr>
          </w:p>
          <w:p w14:paraId="6098D400">
            <w:pPr>
              <w:spacing w:afterLines="0" w:line="276" w:lineRule="auto"/>
              <w:rPr>
                <w:rFonts w:ascii="Times New Roman" w:hAnsi="Times New Roman"/>
                <w:color w:val="000000"/>
                <w:szCs w:val="24"/>
              </w:rPr>
            </w:pPr>
          </w:p>
          <w:p w14:paraId="7CDB03C4">
            <w:pPr>
              <w:spacing w:afterLines="0" w:line="276" w:lineRule="auto"/>
              <w:rPr>
                <w:rFonts w:ascii="Times New Roman" w:hAnsi="Times New Roman"/>
                <w:color w:val="000000"/>
                <w:szCs w:val="24"/>
              </w:rPr>
            </w:pPr>
            <w:r>
              <w:rPr>
                <w:rFonts w:ascii="Times New Roman"/>
                <w:color w:val="000000"/>
                <w:szCs w:val="24"/>
              </w:rPr>
              <w:t>组长签字：</w:t>
            </w:r>
          </w:p>
          <w:p w14:paraId="768769E5">
            <w:pPr>
              <w:wordWrap w:val="0"/>
              <w:adjustRightInd w:val="0"/>
              <w:snapToGrid w:val="0"/>
              <w:spacing w:afterLines="0" w:line="276" w:lineRule="auto"/>
              <w:jc w:val="right"/>
              <w:rPr>
                <w:rFonts w:ascii="宋体" w:hAnsi="宋体"/>
                <w:color w:val="000000"/>
                <w:szCs w:val="21"/>
              </w:rPr>
            </w:pPr>
            <w:r>
              <w:rPr>
                <w:rFonts w:ascii="Times New Roman" w:hAnsi="宋体"/>
                <w:color w:val="000000"/>
                <w:szCs w:val="21"/>
              </w:rPr>
              <w:t>年</w:t>
            </w:r>
            <w:r>
              <w:rPr>
                <w:rFonts w:hint="eastAsia" w:ascii="Times New Roman" w:hAnsi="宋体"/>
                <w:color w:val="000000"/>
                <w:szCs w:val="21"/>
              </w:rPr>
              <w:t xml:space="preserve">      </w:t>
            </w:r>
            <w:r>
              <w:rPr>
                <w:rFonts w:ascii="Times New Roman" w:hAnsi="宋体"/>
                <w:color w:val="000000"/>
                <w:szCs w:val="21"/>
              </w:rPr>
              <w:t>月</w:t>
            </w:r>
            <w:r>
              <w:rPr>
                <w:rFonts w:hint="eastAsia" w:ascii="Times New Roman" w:hAnsi="宋体"/>
                <w:color w:val="000000"/>
                <w:szCs w:val="21"/>
              </w:rPr>
              <w:t xml:space="preserve">      </w:t>
            </w:r>
            <w:r>
              <w:rPr>
                <w:rFonts w:ascii="Times New Roman" w:hAnsi="宋体"/>
                <w:color w:val="000000"/>
                <w:szCs w:val="21"/>
              </w:rPr>
              <w:t>日</w:t>
            </w:r>
            <w:r>
              <w:rPr>
                <w:rFonts w:hint="eastAsia" w:ascii="Times New Roman" w:hAnsi="宋体"/>
                <w:color w:val="000000"/>
                <w:szCs w:val="21"/>
              </w:rPr>
              <w:t xml:space="preserve">   </w:t>
            </w:r>
          </w:p>
        </w:tc>
      </w:tr>
    </w:tbl>
    <w:p w14:paraId="53DE095B">
      <w:pPr>
        <w:spacing w:after="312"/>
      </w:pPr>
    </w:p>
    <w:p w14:paraId="0AA7A253">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EC23606"/>
    <w:multiLevelType w:val="multilevel"/>
    <w:tmpl w:val="1EC23606"/>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57706C9"/>
    <w:multiLevelType w:val="multilevel"/>
    <w:tmpl w:val="25770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F52FA"/>
    <w:multiLevelType w:val="multilevel"/>
    <w:tmpl w:val="529F52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2F60C9"/>
    <w:rsid w:val="6C9C0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4381</Words>
  <Characters>5447</Characters>
  <Lines>0</Lines>
  <Paragraphs>0</Paragraphs>
  <TotalTime>0</TotalTime>
  <ScaleCrop>false</ScaleCrop>
  <LinksUpToDate>false</LinksUpToDate>
  <CharactersWithSpaces>5801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还是你最可爱</cp:lastModifiedBy>
  <dcterms:modified xsi:type="dcterms:W3CDTF">2026-10-14T08:46:32Z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eyJoZGlkIjoiMjdjZWE1ODZiZDljZTBiZjZjZWFjYTc1ZWNiMjUxNmUiLCJ1c2VySWQiOiI5NzM5OTUwNTAifQ==</vt:lpwstr>
  </property>
  <property fmtid="{D5CDD505-2E9C-101B-9397-08002B2CF9AE}" pid="3" name="KSOProductBuildVer">
    <vt:lpwstr>2052-12.1.0.28505</vt:lpwstr>
  </property>
  <property fmtid="{D5CDD505-2E9C-101B-9397-08002B2CF9AE}" pid="4" name="ICV">
    <vt:lpwstr>DB0C64743AFD41C7BC8A27ED387CF2D2_12</vt:lpwstr>
  </property>
</Properties>
</file>