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66928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9280" cy="1889760"/>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外码在稳态下从未触发纠错，说明按最坏情况设计的外码存在显著冗余浪费。如何依据实测残差统计而非模型假设来配置外码，并进一步依据信道状态自适应切换码率，是级联编码在 ISAC 场景下的新</w:t>
      </w:r>
      <w:r>
        <w:rPr>
          <w:rFonts w:ascii="Times New Roman" w:hAnsi="Times New Roman" w:eastAsia="宋体"/>
          <w:b w:val="0"/>
          <w:sz w:val="24"/>
        </w:rPr>
        <w:t>问题。</w:t>
      </w:r>
      <w:commentRangeStart w:id="0"/>
      <w:r>
        <w:rPr>
          <w:rFonts w:ascii="Times New Roman" w:hAnsi="Times New Roman"/>
          <w:b w:val="0"/>
          <w:sz w:val="24"/>
        </w:rPr>
        <w:t>需强调，上述“零纠错”是统计上界而非零：约 5×10⁸ bit 观测窗内零事件，对应 95% 置信上界约 6×10⁻⁹，在 1.2 Mbps 下折合“每十余分钟一次残留比特错误”，而单个残留比特即可破坏一个 GOP（1.5 s 花屏）；且内码译码器不返回收敛标志、亦无逐码字校验，其误纠对上层呈现为静默错误。故外码在级联结构中的定位是瞬态与衰落条件下的兜底与检测，而非稳态可靠性；其作用的边界（何时开始产生纠正）需在本课题研究内容 2 中定量刻画。</w:t>
      </w:r>
      <w:commentRangeEnd w:id="0"/>
      <w:r>
        <w:commentReference w:id="0"/>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链路上的端到端表现。本研究是首个对 ISAC 链路上视频容器放大因子 γ 进行系统实测并建模的工作，也是首个基于实测 LDPC 残差统计（而非信道模型假设）确定外码最小充分配置的工作。</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65D90E3A">
      <w:pPr>
        <w:ind w:firstLine="480"/>
        <w:rPr>
          <w:b w:val="0"/>
          <w:bCs w:val="0"/>
        </w:rPr>
      </w:pPr>
      <w:commentRangeStart w:id="1"/>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w:t>
      </w:r>
      <w:bookmarkStart w:id="0" w:name="_GoBack"/>
      <w:bookmarkEnd w:id="0"/>
      <w:r>
        <w:rPr>
          <w:rFonts w:ascii="Times New Roman" w:hAnsi="Times New Roman" w:eastAsia="宋体"/>
          <w:b w:val="0"/>
          <w:bCs/>
          <w:sz w:val="24"/>
        </w:rPr>
        <w:t>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commentRangeEnd w:id="1"/>
      <w:r>
        <w:commentReference w:id="1"/>
      </w:r>
    </w:p>
    <w:p w14:paraId="39AA961A">
      <w:pPr>
        <w:ind w:firstLine="480"/>
        <w:rPr>
          <w:b w:val="0"/>
          <w:bCs w:val="0"/>
        </w:rPr>
      </w:pPr>
      <w:commentRangeStart w:id="2"/>
      <w:r>
        <w:rPr>
          <w:rFonts w:ascii="Times New Roman" w:hAnsi="Times New Roman" w:eastAsia="宋体"/>
          <w:b w:val="0"/>
          <w:bCs/>
          <w:sz w:val="24"/>
        </w:rPr>
        <w:t>需特别指出：内码译码器既不返回收敛标志、也无逐码字校验，其误纠对上层是静默的——RS 译码器的伴随式因此是本链路唯一的在带内残差判据，兼具检测与纠错双重职能。这也是本研究必须在平台上引入外码（而非仅依赖强内码）的根本技术理由。</w:t>
      </w:r>
      <w:commentRangeEnd w:id="2"/>
      <w:r>
        <w:commentReference w:id="2"/>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8.4%。该结论揭示了一个可迁移的设计准则：在 LDPC 内码已足够强的级联链路中，外码只需"覆盖内码残差上界的最小充分能力"，而非按最坏情况取最强配置。</w:t>
      </w:r>
      <w:commentRangeStart w:id="3"/>
      <w:r>
        <w:rPr>
          <w:rFonts w:ascii="Times New Roman" w:hAnsi="Times New Roman"/>
          <w:b w:val="0"/>
          <w:sz w:val="24"/>
        </w:rPr>
        <w:t>需说明，稳态零纠错是预期之中的结果——内码足够强本就是本研究的平台前提，四档配置在良好 SNR 下等价，此时 Pareto 前沿由吞吐损失单维决定，必然指向最轻档位；外码的真实作用域是启动锁定瞬态、深衰落与遮挡等非稳态条件（前期唯一观测到的失败事件即发生于接收机启动同步锁定瞬态）。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3"/>
      <w:r>
        <w:commentReference w:id="3"/>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14:paraId="5E485B42">
      <w:pPr>
        <w:jc w:val="center"/>
      </w:pPr>
      <w:r>
        <w:drawing>
          <wp:inline distT="0" distB="0" distL="114300" distR="114300">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669280" cy="2834640"/>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2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4"/>
      <w:r>
        <w:rPr>
          <w:rFonts w:ascii="Times New Roman" w:hAnsi="Times New Roman" w:eastAsia="宋体"/>
          <w:b w:val="0"/>
          <w:bCs/>
          <w:sz w:val="24"/>
        </w:rPr>
        <w:t>- 拟研究问题：本部分回答两个相互衔接的问题。(1) 外码的必要性边界：研究点 1 已证明固定 RS(255,223) 在实验室稳态 SNR 下“过保护”，但该结论只在良好 SNR 的单点成立——四档配置在稳态下零纠错，无法区分优劣。外码究竟在何种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4"/>
      <w:r>
        <w:commentReference w:id="4"/>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587712D0">
      <w:pPr>
        <w:ind w:firstLine="480"/>
        <w:rPr>
          <w:b w:val="0"/>
          <w:bCs/>
        </w:rPr>
      </w:pPr>
      <w:commentRangeStart w:id="5"/>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commentRangeEnd w:id="5"/>
      <w:r>
        <w:commentReference w:id="5"/>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3.5 GHz 载波下波长 λ≈85.7 mm，胸壁往返位移 d 引起的相位变化为 Δφ = 4πd/λ。呼吸引起的胸壁位移约 4–8 mm，对应 Δφ ≈ 0.59–1.17 rad（34°–67°），量级充裕；心跳引起的胸壁位移约 0.2–0.5 mm，对应 Δφ ≈ 0.03–0.07 rad（1.7°–4°），这才是真正受限于系统相位噪声底的部分，也是目标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commentRangeStart w:id="6"/>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commentRangeEnd w:id="6"/>
      <w:r>
        <w:commentReference w:id="6"/>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14:paraId="707231FF">
      <w:pPr>
        <w:jc w:val="center"/>
      </w:pPr>
      <w:r>
        <w:drawing>
          <wp:inline distT="0" distB="0" distL="114300" distR="114300">
            <wp:extent cx="566928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3437224"/>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3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实验数据（已闭环）：RS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14:paraId="7B9F6A44">
      <w:pPr>
        <w:jc w:val="center"/>
      </w:pPr>
      <w:r>
        <w:drawing>
          <wp:inline distT="0" distB="0" distL="114300" distR="114300">
            <wp:extent cx="5669280" cy="2277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2277134"/>
                    </a:xfrm>
                    <a:prstGeom prst="rect">
                      <a:avLst/>
                    </a:prstGeom>
                  </pic:spPr>
                </pic:pic>
              </a:graphicData>
            </a:graphic>
          </wp:inline>
        </w:drawing>
      </w:r>
    </w:p>
    <w:p w14:paraId="28664B03">
      <w:pPr>
        <w:ind w:firstLine="480"/>
      </w:pPr>
      <w:r>
        <w:rPr>
          <w:rFonts w:ascii="Times New Roman" w:hAnsi="Times New Roman" w:eastAsia="宋体"/>
          <w:b/>
          <w:sz w:val="24"/>
        </w:rPr>
        <w:t>图 4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扫描、容器放大因子实测、队列优化、延迟测量、参数边界扫描）；形成英文期刊论文初稿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commentRangeStart w:id="7"/>
      <w:r>
        <w:rPr>
          <w:rFonts w:ascii="Times New Roman" w:hAnsi="Times New Roman"/>
          <w:b w:val="0"/>
          <w:sz w:val="24"/>
        </w:rPr>
        <w:t>同期在受控衰减扫描中完成四档外码的激活点曲线刻画（研究内容 2 的基线数据，不新增实验量）。</w:t>
      </w:r>
      <w:commentRangeEnd w:id="7"/>
      <w:r>
        <w:commentReference w:id="7"/>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commentRangeStart w:id="8"/>
      <w:r>
        <w:rPr>
          <w:rFonts w:ascii="Times New Roman" w:hAnsi="Times New Roman"/>
          <w:b w:val="0"/>
          <w:sz w:val="24"/>
        </w:rPr>
        <w:t>给出四档外码的激活点曲线与最优切换区段；</w:t>
      </w:r>
      <w:commentRangeEnd w:id="8"/>
      <w:r>
        <w:commentReference w:id="8"/>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改对照" w:date="2026-10-19T15:47:00Z" w:initials="改">
    <w:p w14:paraId="0948A244">
      <w:r>
        <w:t>【新增】把“零纠错”明确为统计上界而非零：5×10⁸ bit 零事件 → 95% 置信上界约 6×10⁻⁹，1.2 Mbps 下折合每十余分钟一次残留比特错误，而单比特即可毁掉一个 GOP（1.5 s）；并指出内码译码器无收敛标志、无逐码字校验，误纠属静默错误；明确外码定位为瞬态与衰落条件下的兜底与检测，其边界交由研究内容 2 刻画。</w:t>
      </w:r>
    </w:p>
    <w:p w14:paraId="6A75764C">
      <w:r>
        <w:t>改动理由：原稿直接由“零纠错”推出“最坏情况设计存在冗余浪费”，缺上界限定，易被质疑“既然零纠错，内码已够、外码不必存在”。</w:t>
      </w:r>
    </w:p>
  </w:comment>
  <w:comment w:id="1" w:author="修改对照" w:date="2026-10-19T15:47:00Z" w:initials="改">
    <w:p w14:paraId="4424720D">
      <w:r>
        <w:t>【新增整段】“接收侧级联译码链的设计与实现”，含 4 个要点：①译码顺序与符号对齐（内外码不可交换，N=255 整块译码，块边界不整即判失败）；②三级不可纠判决（伴随式全零 / BM 次数超 T / Chien 根数不符）；③失败回退（不可纠时“不丢包、降级投递”，故统计口径为 RS 不可纠率而非画面丢失率）；④载荷边界还原（2 字节长度前缀随数据受 RS 保护 + 头部重复区一致性校验）。</w:t>
      </w:r>
    </w:p>
    <w:p w14:paraId="6B12FD2F">
      <w:r>
        <w:t>改动理由：原稿只写了发送侧“级联至 LDPC 编码链路”，接收侧数据流一字未提；评审易问“加了外码，收端怎么解”。本段所述功能均已实现，不新增实验。</w:t>
      </w:r>
    </w:p>
  </w:comment>
  <w:comment w:id="2" w:author="修改对照" w:date="2026-10-19T15:47:00Z" w:initials="改">
    <w:p w14:paraId="1D30298A">
      <w:r>
        <w:t>【新增整段】点明外码存在的根本技术理由：内码译码器既不返回收敛标志、也无逐码字校验，误纠对上层是静默的；RS 译码器的伴随式是本链路唯一的在带内残差判据，兼具检测与纠错。</w:t>
      </w:r>
    </w:p>
    <w:p w14:paraId="2F6E5B46">
      <w:r>
        <w:t>改动理由：这是“为什么必须有外码”的硬理由，原稿没有给出。</w:t>
      </w:r>
    </w:p>
  </w:comment>
  <w:comment w:id="3" w:author="修改对照" w:date="2026-10-19T15:47:00Z" w:initials="改">
    <w:p w14:paraId="44D7004A">
      <w:r>
        <w:t>【新增】说明稳态零纠错是预期之中的结果：内码足够强本就是平台前提，四档在良好 SNR 下等价，Pareto 前沿由吞吐损失单维决定、必然指向最轻档位；外码真实作用域是启动锁定瞬态、深衰落与遮挡等非稳态条件（唯一失败事件即发生于启动同步锁定瞬态）。并明确“激活点”问题移交研究内容 2 的受控衰减扫描，本研究内容不为此新增实验。</w:t>
      </w:r>
    </w:p>
    <w:p w14:paraId="25063F43">
      <w:r>
        <w:t>改动理由：原稿在单点 SNR 下以“稳态零纠错”直接得出结论，逻辑上会被读成“外码无用／只是冗余”，与本论文“最轻量充分纠错”的命题自相矛盾。</w:t>
      </w:r>
    </w:p>
  </w:comment>
  <w:comment w:id="4" w:author="修改对照" w:date="2026-10-19T15:47:00Z" w:initials="改">
    <w:p w14:paraId="4D135218">
      <w:r>
        <w:t>【整段改写】原稿为单句：“研究点 1 证明固定 RS(255,223) 在实验室 SNR 下‘过保护’。当信道条件随距离/遮挡/干扰变化时，如何在线选择码率参数？”现拆为两个衔接的问题：(1) 外码的必要性边界（四档在稳态零纠错无法区分优劣，需以 SNR 区段上的“激活点”刻画真实边界）；(2) 在线码率选择。</w:t>
      </w:r>
    </w:p>
    <w:p w14:paraId="38547035">
      <w:r>
        <w:t>改动理由：承接研究内容 1 遗留的边界问题，使“外码何时需要”有明确归属，避免内容 1 结论悬空。</w:t>
      </w:r>
    </w:p>
  </w:comment>
  <w:comment w:id="5" w:author="修改对照" w:date="2026-10-19T15:47:00Z" w:initials="改">
    <w:p w14:paraId="5DEB36A9">
      <w:r>
        <w:t>【新增整项】在拟采用方案中前置“外码激活点的二维刻画”：受控衰减扫描（0–20 dB）下同步记录四档配置的纠错事件数、不可纠事件数与有效吞吐，绘出“SNR–纠错事件率”曲线，确定各档激活点、工作区段与最优切换区段。</w:t>
      </w:r>
    </w:p>
    <w:p w14:paraId="3C84F49F">
      <w:r>
        <w:t>改动理由：该衰减扫描本是研究内容 2 的既定基线实验，此处只是把“激活点”列为它的产出之一并明确其为映射模型的输入，故不构成额外实验负担。</w:t>
      </w:r>
    </w:p>
  </w:comment>
  <w:comment w:id="6" w:author="修改对照" w:date="2026-10-19T15:47:00Z" w:initials="改">
    <w:p w14:paraId="0B955BA7">
      <w:r>
        <w:t>【新增】明确“充分”的判据：覆盖实测残差的统计上界、而非消除全部误码；完整刻画需二维评估——良好 SNR 下的吞吐损失与衰落条件下的激活点位置。</w:t>
      </w:r>
    </w:p>
    <w:p w14:paraId="39FE5C24">
      <w:r>
        <w:t>改动理由：原稿“最小充分配置”未定义“充分”，易被追问判据是什么。</w:t>
      </w:r>
    </w:p>
  </w:comment>
  <w:comment w:id="7" w:author="修改对照" w:date="2026-10-19T15:47:00Z" w:initials="改">
    <w:p w14:paraId="2A39F0CC">
      <w:r>
        <w:t>【新增】在第二学年第一学期计划中补一句：同期完成四档外码激活点曲线刻画，并注明为研究内容 2 的基线数据、不新增实验量。</w:t>
      </w:r>
    </w:p>
    <w:p w14:paraId="6F9589E5">
      <w:r>
        <w:t>改动理由：让计划与内容 2 新增的“激活点”子项对应，防止评委追问工作量与进度是否匹配。</w:t>
      </w:r>
    </w:p>
  </w:comment>
  <w:comment w:id="8" w:author="修改对照" w:date="2026-10-19T15:47:00Z" w:initials="改">
    <w:p w14:paraId="49681011">
      <w:r>
        <w:t>【新增】研究点 2 的量化指标后补一项产出：四档外码的激活点曲线与最优切换区段。</w:t>
      </w:r>
    </w:p>
    <w:p w14:paraId="3DD77DE9">
      <w:r>
        <w:t>改动理由：把“外码必要性边界”变成可交付的量化成果，回应“外码有什么用”的质疑。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75764C" w15:done="0"/>
  <w15:commentEx w15:paraId="6B12FD2F" w15:done="0"/>
  <w15:commentEx w15:paraId="2F6E5B46" w15:done="0"/>
  <w15:commentEx w15:paraId="25063F43" w15:done="0"/>
  <w15:commentEx w15:paraId="38547035" w15:done="0"/>
  <w15:commentEx w15:paraId="3C84F49F" w15:done="0"/>
  <w15:commentEx w15:paraId="39FE5C24" w15:done="0"/>
  <w15:commentEx w15:paraId="6F9589E5" w15:done="0"/>
  <w15:commentEx w15:paraId="3DD77DE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改对照">
    <w15:presenceInfo w15:providerId="None" w15:userId="修改对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F60C9"/>
    <w:rsid w:val="48BE3994"/>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126</Words>
  <Characters>153</Characters>
  <Lines>0</Lines>
  <Paragraphs>0</Paragraphs>
  <TotalTime>92</TotalTime>
  <ScaleCrop>false</ScaleCrop>
  <LinksUpToDate>false</LinksUpToDate>
  <CharactersWithSpaces>159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2026-10-19T13:40:43Z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