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6"/>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66928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1889760"/>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平台上实时视频传输与雷达感知的系统拓扑</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外码在稳态下从未触发纠错，说明按最坏情况设计的外码存在显著冗余浪费。如何依据实测残差统计而非模型假设来配置外码，并进一步依据信道状态自适应切换码率，是级联编码在 ISAC 场景下的新</w:t>
      </w:r>
      <w:r>
        <w:rPr>
          <w:rFonts w:ascii="Times New Roman" w:hAnsi="Times New Roman" w:eastAsia="宋体"/>
          <w:b w:val="0"/>
          <w:sz w:val="24"/>
        </w:rPr>
        <w:t>问题。</w:t>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链路上实时视频传输的跨层优化（已基本完成，收尾整理中）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链路上的端到端表现。本研究是首个对 ISAC 链路上视频容器放大因子 γ 进行系统实测并建模的工作，也是首个基于实测 LDPC 残差统计（而非信道模型假设）确定外码最小充分配置的工作。</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8.4%。该结论揭示了一个可迁移的设计准则：在 LDPC 内码已足够强的级联链路中，外码只需"覆盖内码残差上界的最小充分能力"，而非按最坏情况取最强配置。</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14:paraId="5E485B42">
      <w:pPr>
        <w:jc w:val="center"/>
      </w:pPr>
      <w:r>
        <w:drawing>
          <wp:inline distT="0" distB="0" distL="114300" distR="114300">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2834640"/>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2　容器误码放大因子 γ：模型预测与四种传输栈实测对比（RS 外码禁用压力测试）</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r>
        <w:rPr>
          <w:rFonts w:ascii="Times New Roman" w:hAnsi="Times New Roman" w:eastAsia="宋体"/>
          <w:b w:val="0"/>
          <w:bCs/>
          <w:sz w:val="24"/>
        </w:rPr>
        <w:t>- 拟研究问题：研究点 1 证明固定 RS(255,223) 在实验室 SNR 下"过保护"。当信道条件随距离/遮挡/干扰变化时，如何在线选择码率参数？</w:t>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r>
        <w:rPr>
          <w:rFonts w:ascii="Times New Roman" w:hAnsi="Times New Roman" w:eastAsia="宋体"/>
          <w:b w:val="0"/>
          <w:bCs w:val="0"/>
          <w:sz w:val="24"/>
        </w:rPr>
        <w:t>- 相位灵敏度预算（定量前提）：在 3.5 GHz 载波下波长 λ≈85.7 mm，胸壁往返位移 d 引起的相位变化为 Δφ = 4πd/λ。呼吸引起的胸壁位移约 4–8 mm，对应 Δφ ≈ 0.59–1.17 rad（34°–67°），量级充裕；心跳引起的胸壁位移约 0.2–0.5 mm，对应 Δφ ≈ 0.03–0.07 rad（1.7°–4°），这才是真正受限于系统相位噪声底的部分，也是目标 C 必须先标定的原因。</w:t>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3]</w:t>
      </w:r>
    </w:p>
    <w:p w14:paraId="707231FF">
      <w:pPr>
        <w:jc w:val="center"/>
      </w:pPr>
      <w:r>
        <w:drawing>
          <wp:inline distT="0" distB="0" distL="114300" distR="114300">
            <wp:extent cx="5669280" cy="34366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437224"/>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图 3　技术路线总图：统一平台支撑三个研究内容的递进关系</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实验数据（已闭环）：RS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4）。</w:t>
      </w:r>
    </w:p>
    <w:p w14:paraId="7B9F6A44">
      <w:pPr>
        <w:jc w:val="center"/>
      </w:pPr>
      <w:r>
        <w:drawing>
          <wp:inline distT="0" distB="0" distL="114300" distR="114300">
            <wp:extent cx="5669280" cy="2277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2277134"/>
                    </a:xfrm>
                    <a:prstGeom prst="rect">
                      <a:avLst/>
                    </a:prstGeom>
                  </pic:spPr>
                </pic:pic>
              </a:graphicData>
            </a:graphic>
          </wp:inline>
        </w:drawing>
      </w:r>
    </w:p>
    <w:p w14:paraId="28664B03">
      <w:pPr>
        <w:ind w:firstLine="480"/>
      </w:pPr>
      <w:r>
        <w:rPr>
          <w:rFonts w:ascii="Times New Roman" w:hAnsi="Times New Roman" w:eastAsia="宋体"/>
          <w:b/>
          <w:sz w:val="24"/>
        </w:rPr>
        <w:t>图 4　前期完成的端到端时延实测：(a) 五分钟秒表轨迹（5 分钟内无累积趋势）；(b) 时延分解（视频解码环节占主导）</w:t>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扫描、容器放大因子实测、队列优化、延迟测量、参数边界扫描）；形成英文期刊论文初稿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论文已完成撰写；研究点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4381</Words>
  <Characters>5447</Characters>
  <Lines>0</Lines>
  <Paragraphs>0</Paragraphs>
  <TotalTime>0</TotalTime>
  <ScaleCrop>false</ScaleCrop>
  <LinksUpToDate>false</LinksUpToDate>
  <CharactersWithSpaces>5801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2026-10-14T08:46:32Z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2052-12.1.0.28505</vt:lpwstr>
  </property>
  <property fmtid="{D5CDD505-2E9C-101B-9397-08002B2CF9AE}" pid="4" name="ICV">
    <vt:lpwstr>DB0C64743AFD41C7BC8A27ED387CF2D2_12</vt:lpwstr>
  </property>
</Properties>
</file>