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论文题目：OFDM 通感一体化系统中实时视频传输与微动感知关键技术研究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6"/>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内码"的级联纠错能力。围绕该模块完成了外码冗余度扫描、容器脆弱性评估及多级缓冲队列优化等前期实验（详见第六节）。</w:t>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w:t>
      </w:r>
      <w:bookmarkStart w:id="0" w:name="_GoBack"/>
      <w:bookmarkEnd w:id="0"/>
      <w:r>
        <w:rPr>
          <w:rFonts w:ascii="Times New Roman" w:hAnsi="Times New Roman" w:eastAsia="宋体"/>
          <w:b w:val="0"/>
          <w:bCs/>
          <w:sz w:val="24"/>
        </w:rPr>
        <w:t>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w:t>
      </w:r>
      <w:r>
        <w:rPr>
          <w:rFonts w:ascii="Times New Roman" w:hAnsi="Times New Roman" w:eastAsia="宋体"/>
          <w:b w:val="0"/>
          <w:sz w:val="24"/>
          <w:vertAlign w:val="superscript"/>
        </w:rPr>
        <w:t>[3][4][25]</w:t>
      </w:r>
      <w:r>
        <w:rPr>
          <w:rFonts w:ascii="Times New Roman" w:hAnsi="Times New Roman" w:eastAsia="宋体"/>
          <w:b w:val="0"/>
          <w:sz w:val="24"/>
        </w:rPr>
        <w:t>。若能在承载视频业务的同一波形上实现微动感知，即可在一条链路上同时验证"通"与"感"双功能，为老人看护、应急搜救等应用提供低成本方案。</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秒）决定了感知慢时间序列的可用采样窗，这是"通"的帧结构约束"感"的采样自由度；（2）感知相参积累窗长反向约束业务切换时机——要达到 0.11 Hz 多普勒分辨率需约 9.4 秒观测窗（研究内容 3 关键参数），在此期间物理层参数（如码率/调制）不可切换，否则相位相参被破坏，这是"感"的相</w:t>
      </w:r>
      <w:r>
        <w:rPr>
          <w:rFonts w:ascii="Times New Roman" w:hAnsi="Times New Roman" w:eastAsia="宋体"/>
          <w:b w:val="0"/>
          <w:sz w:val="24"/>
        </w:rPr>
        <w:t>参要求</w:t>
      </w:r>
      <w:r>
        <w:rPr>
          <w:rFonts w:ascii="Times New Roman" w:hAnsi="Times New Roman" w:eastAsia="宋体"/>
          <w:b w:val="0"/>
          <w:bCs w:val="0"/>
          <w:sz w:val="24"/>
        </w:rPr>
        <w:t>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14:paraId="1FBBD1F2">
      <w:pPr>
        <w:jc w:val="center"/>
      </w:pPr>
      <w:r>
        <w:drawing>
          <wp:inline distT="0" distB="0" distL="114300" distR="114300">
            <wp:extent cx="5168265" cy="2688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68823" cy="2689072"/>
                    </a:xfrm>
                    <a:prstGeom prst="rect">
                      <a:avLst/>
                    </a:prstGeom>
                  </pic:spPr>
                </pic:pic>
              </a:graphicData>
            </a:graphic>
          </wp:inline>
        </w:drawing>
      </w:r>
    </w:p>
    <w:p w14:paraId="0AAE5F4F">
      <w:pPr>
        <w:ind w:firstLine="480"/>
        <w:rPr>
          <w:sz w:val="21"/>
          <w:szCs w:val="21"/>
        </w:rPr>
      </w:pPr>
      <w:r>
        <w:rPr>
          <w:rFonts w:ascii="Times New Roman" w:hAnsi="Times New Roman" w:eastAsia="宋体"/>
          <w:b/>
          <w:sz w:val="21"/>
          <w:szCs w:val="21"/>
        </w:rPr>
        <w:t>图 1　OpenISAC 平台上实时视频传输与雷达感知的系统拓扑</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的成果已整理为英文论文（已完成</w:t>
      </w:r>
      <w:r>
        <w:rPr>
          <w:rFonts w:hint="eastAsia"/>
          <w:b w:val="0"/>
          <w:sz w:val="24"/>
          <w:lang w:val="en-US" w:eastAsia="zh-CN"/>
        </w:rPr>
        <w:t>初稿</w:t>
      </w:r>
      <w:r>
        <w:rPr>
          <w:rFonts w:ascii="Times New Roman" w:hAnsi="Times New Roman" w:eastAsia="宋体"/>
          <w:b w:val="0"/>
          <w:sz w:val="24"/>
        </w:rPr>
        <w:t>撰写）；研究点 3 面向智慧健康监测场景，符合专业学位"应用研究类"论文的定位。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OFDM 波形融合通信与雷达感知的处理框架由 Sturm 与 Wiesbeck 系统建立</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r>
        <w:rPr>
          <w:rFonts w:ascii="Times New Roman" w:hAnsi="Times New Roman" w:eastAsia="宋体"/>
          <w:b w:val="0"/>
          <w:bCs w:val="0"/>
          <w:sz w:val="24"/>
        </w:rPr>
        <w:t>。传统设计按建模的最坏情况确定外码强度。本课题前期实验（已闭环）表明：在 QPSK/强 LDPC 的真实链路上，LDPC 残差错极稀疏——在累计约 5×10⁸ bit 的观测窗口内未观测到稳态纠错事件，据此可将残差等效误码率上界约束在 10⁻⁹ 量级，最轻量 RS(255,223) 外码在稳态下从未触发纠错，说明按最坏情况设计的外码存在显著冗余浪费。如何依据实测残差统计而非模型假设来配置外码，并进一步依据信道状态自适应切换码率，是级联编码在 ISAC 场景下的新</w:t>
      </w:r>
      <w:r>
        <w:rPr>
          <w:rFonts w:ascii="Times New Roman" w:hAnsi="Times New Roman" w:eastAsia="宋体"/>
          <w:b w:val="0"/>
          <w:sz w:val="24"/>
        </w:rPr>
        <w:t>问题。</w:t>
      </w:r>
      <w:r>
        <w:rPr>
          <w:rFonts w:ascii="Times New Roman" w:hAnsi="Times New Roman"/>
          <w:b w:val="0"/>
          <w:sz w:val="24"/>
        </w:rPr>
        <w:t>需强调，上述“零纠错”是统计上界而非零：约 5×10⁸ bit 观测窗内零事件，对应 95% 置信上界约 6×10⁻⁹，在 1.2 Mbps 下折合“每十余分钟一次残留比特错误”，而单个残留比特即可破坏一个 GOP（1.5 s 花屏）；且内码译码器不返回收敛标志、亦无逐码字校验，其误纠对上层呈现为静默错误。故外码在级联结构中的定位是瞬态与衰落条件下的兜底与检测，而非稳态可靠性；其作用的边界（何时开始产生纠正）需在本课题研究内容 2 中定量刻画。</w:t>
      </w:r>
    </w:p>
    <w:p w14:paraId="0E111E42">
      <w:r>
        <w:rPr>
          <w:rFonts w:ascii="Times New Roman" w:hAnsi="Times New Roman" w:eastAsia="黑体"/>
          <w:b/>
          <w:sz w:val="25"/>
        </w:rPr>
        <w:t>3.4 ISAC 人体感知与生命体征监测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平台上、利用通信解调链路已有的相位信息做微动提取的研究仍然很少。这既是本课题研究点 3 的切入点，其平台基础（相位测量、帧级相参处理）又已在研究点 1 中就绪。</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14:paraId="6443508A">
      <w:r>
        <w:rPr>
          <w:rFonts w:ascii="Times New Roman" w:hAnsi="Times New Roman" w:eastAsia="黑体"/>
          <w:b/>
          <w:sz w:val="25"/>
        </w:rPr>
        <w:t>4.2 主要研究内容</w:t>
      </w:r>
    </w:p>
    <w:p w14:paraId="5CA16E68">
      <w:pPr>
        <w:ind w:firstLine="480"/>
      </w:pPr>
      <w:r>
        <w:rPr>
          <w:rFonts w:ascii="Times New Roman" w:hAnsi="Times New Roman" w:eastAsia="宋体"/>
          <w:b/>
          <w:sz w:val="24"/>
        </w:rPr>
        <w:t>研究内容 1：强编码 ISAC 链路上实时视频传输的跨层优化（已基本完成，收尾整理中）</w:t>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r>
        <w:rPr>
          <w:rFonts w:ascii="Times New Roman" w:hAnsi="Times New Roman" w:eastAsia="宋体"/>
          <w:b w:val="0"/>
          <w:bCs/>
          <w:sz w:val="24"/>
        </w:rPr>
        <w:t>）的评估均以感知精度或链路吞吐为指标，无一研究连续媒体业务在真实 ISAC 链路上的端到端表现。本研究是首个对 ISAC 链路上视频容器放大因子 γ 进行系统实测并建模的工作，也是首个基于实测 LDPC 残差统计（而非信道模型假设）确定外码最小充分配置的工作。</w:t>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62987D84">
      <w:pPr>
        <w:ind w:firstLine="480"/>
        <w:rPr>
          <w:b w:val="0"/>
          <w:bCs w:val="0"/>
        </w:rPr>
      </w:pPr>
      <w:r>
        <w:rPr>
          <w:rFonts w:ascii="Times New Roman" w:hAnsi="Times New Roman" w:eastAsia="宋体"/>
          <w:b w:val="0"/>
          <w:bCs/>
          <w:sz w:val="24"/>
        </w:rPr>
        <w:t>- 接收侧级联译码链的设计与实现：外码的引入同时要求接收链路补上对应的译码级。本课题在解调器中实现了“解交织/软解扰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p>
    <w:p w14:paraId="628AF142">
      <w:pPr>
        <w:ind w:firstLine="480"/>
        <w:rPr>
          <w:b w:val="0"/>
          <w:bCs w:val="0"/>
        </w:rPr>
      </w:pPr>
      <w:r>
        <w:rPr>
          <w:rFonts w:ascii="Times New Roman" w:hAnsi="Times New Roman" w:eastAsia="宋体"/>
          <w:b w:val="0"/>
          <w:bCs/>
          <w:sz w:val="24"/>
        </w:rPr>
        <w:t>需特别指出：内码译码器既不返回收敛标志、也无逐码字校验，其误纠对上层是静默的——RS 译码器的伴随式因此是本链路唯一的在带内残差判据，兼具检测与纠错双重职能。这也是本研究必须在平台上引入外码（而非仅依赖强内码）的根本技术理由。</w:t>
      </w:r>
      <w:r>
        <w:rPr>
          <w:rFonts w:ascii="Times New Roman" w:hAnsi="Times New Roman" w:eastAsia="宋体"/>
          <w:b w:val="0"/>
          <w:bCs w:val="0"/>
          <w:sz w:val="24"/>
        </w:rPr>
        <w:t>级联编解码结构与残差判据的统计位置如图 2 所示。</w:t>
      </w:r>
    </w:p>
    <w:p w14:paraId="765A727A">
      <w:pPr>
        <w:ind w:firstLine="480"/>
        <w:jc w:val="center"/>
        <w:rPr>
          <w:b w:val="0"/>
          <w:bCs w:val="0"/>
        </w:rPr>
      </w:pPr>
      <w:r>
        <w:drawing>
          <wp:inline distT="0" distB="0" distL="114300" distR="114300">
            <wp:extent cx="5168265" cy="2980055"/>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168823" cy="2980198"/>
                    </a:xfrm>
                    <a:prstGeom prst="rect">
                      <a:avLst/>
                    </a:prstGeom>
                  </pic:spPr>
                </pic:pic>
              </a:graphicData>
            </a:graphic>
          </wp:inline>
        </w:drawing>
      </w:r>
    </w:p>
    <w:p w14:paraId="634C7733">
      <w:pPr>
        <w:ind w:firstLine="480"/>
        <w:jc w:val="center"/>
        <w:rPr>
          <w:sz w:val="21"/>
          <w:szCs w:val="21"/>
        </w:rPr>
      </w:pPr>
      <w:r>
        <w:rPr>
          <w:rFonts w:ascii="Times New Roman" w:hAnsi="Times New Roman"/>
          <w:b/>
          <w:sz w:val="21"/>
        </w:rPr>
        <w:t>图 2　级联纠错编码链路架构：RS(255, K) 外码与 LDPC(1008, 504) 内码的级联编解码流程，虚线框内为残差判据点（RS 伴随式）</w:t>
      </w:r>
    </w:p>
    <w:p w14:paraId="361DBB16">
      <w:pPr>
        <w:ind w:firstLine="480"/>
        <w:rPr>
          <w:b w:val="0"/>
          <w:bCs w:val="0"/>
        </w:rPr>
      </w:pPr>
      <w:r>
        <w:rPr>
          <w:rFonts w:ascii="Times New Roman" w:hAnsi="Times New Roman" w:eastAsia="宋体"/>
          <w:b w:val="0"/>
          <w:bCs w:val="0"/>
          <w:sz w:val="24"/>
        </w:rPr>
        <w:t>- 外码冗余的 Pareto 分析：对上述四档配置（K=223/207/191/179，冗余 14.3%–42.5%）在真实空口链路上进行系统扫描。已验证：稳态下全部配置零纠错事件，唯一失败事件出现于接收机启动同步锁定瞬态，与 RS 纠错能力无关；RS(255,223)（16 字节纠错）为 Pareto 最优，较前期部署的 RS(255,191) 有效载荷吞吐提升约 8.4%。该结论揭示了一个可迁移的设计准则：在 LDPC 内码已足够强的级联链路中，外码只需"覆盖内码残差上界的最小充分能力"，而非按最坏情况取最强配置。</w:t>
      </w:r>
      <w:r>
        <w:rPr>
          <w:rFonts w:ascii="Times New Roman" w:hAnsi="Times New Roman"/>
          <w:b w:val="0"/>
          <w:sz w:val="24"/>
        </w:rPr>
        <w:t>需说明，稳态零纠错是预期之中的结果——内码足够强本就是本研究的平台前提，四档配置在良好 SNR 下等价，此时 Pareto 前沿由吞吐损失单维决定，必然指向最轻档位；外码的真实作用域是启动锁定瞬态、深衰落与遮挡等非稳态条件（前期唯一观测到的失败事件即发生于接收机启动同步锁定瞬态）。因此“外码何时开始起作用”（激活点）不由稳态计数刻画，而由衰减条件下的纠错/不可纠事件率刻画；该问题连同四档配置的激活点曲线，一并在研究内容 2 的受控衰减扫描中给出，本研究内容不为此新增实验。</w:t>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μs）的最小可行保护间隔；BER–速率扫描显示 3000 kbps 以下有效载荷零误码、视频速率下 2.5 倍余量。</w:t>
      </w:r>
    </w:p>
    <w:p w14:paraId="5E485B42">
      <w:pPr>
        <w:jc w:val="center"/>
      </w:pPr>
      <w:r>
        <w:drawing>
          <wp:inline distT="0" distB="0" distL="114300" distR="114300">
            <wp:extent cx="5168265" cy="2583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68823" cy="2584411"/>
                    </a:xfrm>
                    <a:prstGeom prst="rect">
                      <a:avLst/>
                    </a:prstGeom>
                  </pic:spPr>
                </pic:pic>
              </a:graphicData>
            </a:graphic>
          </wp:inline>
        </w:drawing>
      </w:r>
    </w:p>
    <w:p w14:paraId="13F9D03A">
      <w:pPr>
        <w:ind w:firstLine="480"/>
        <w:rPr>
          <w:b w:val="0"/>
          <w:bCs/>
          <w:sz w:val="21"/>
          <w:szCs w:val="21"/>
        </w:rPr>
      </w:pPr>
      <w:r>
        <w:rPr>
          <w:rFonts w:ascii="Times New Roman" w:hAnsi="Times New Roman" w:eastAsia="宋体"/>
          <w:b w:val="0"/>
          <w:bCs/>
          <w:sz w:val="21"/>
          <w:szCs w:val="21"/>
        </w:rPr>
        <w:t>图 3　容器误码放大因子 γ：模型预测与四种传输栈实测对比（RS 外码禁用压力测试）</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r>
        <w:rPr>
          <w:rFonts w:ascii="Times New Roman" w:hAnsi="Times New Roman" w:eastAsia="宋体"/>
          <w:b w:val="0"/>
          <w:bCs/>
          <w:sz w:val="24"/>
        </w:rPr>
        <w:t>- 拟研究问题：本部分回答两个相互衔接的问题。(1) 外码的必要性边界：研究点 1 已证明固定 RS(255,223) 在实验室稳态 SNR 下“过保护”，但该结论只在良好 SNR 的单点成立——四档配置在稳态下零纠错，无法区分优劣。外码究竟在何种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p>
    <w:p w14:paraId="261662CA">
      <w:pPr>
        <w:ind w:firstLine="480"/>
        <w:rPr>
          <w:b w:val="0"/>
          <w:bCs/>
        </w:rPr>
      </w:pPr>
      <w:r>
        <w:rPr>
          <w:rFonts w:ascii="Times New Roman" w:hAnsi="Times New Roman" w:eastAsia="宋体"/>
          <w:b w:val="0"/>
          <w:bCs/>
          <w:sz w:val="24"/>
        </w:rPr>
        <w:t>- 拟采用方案：本部分需先完成一项使能性改造——将 RS 外码由当前"编译期常量 K + 单档生成多项式"改造为运行时可配置（运行期选择 K 并动态生成 g(x)），这是实现参数热切换的必要前提，本身即构成对平台的工程贡献。在此基础上：</w:t>
      </w:r>
    </w:p>
    <w:p w14:paraId="450C3C73">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3（拟研究）：基于通信波形的非接触微动感知</w:t>
      </w:r>
    </w:p>
    <w:p w14:paraId="379580F7">
      <w:pPr>
        <w:ind w:firstLine="480"/>
      </w:pPr>
      <w:r>
        <w:rPr>
          <w:rFonts w:ascii="Times New Roman" w:hAnsi="Times New Roman" w:eastAsia="宋体"/>
          <w:b w:val="0"/>
          <w:bCs/>
          <w:sz w:val="24"/>
        </w:rPr>
        <w:t>现有不足与本研究创新点</w:t>
      </w:r>
      <w:r>
        <w:rPr>
          <w:rFonts w:ascii="Times New Roman" w:hAnsi="Times New Roman" w:eastAsia="宋体"/>
          <w:b w:val="0"/>
          <w:sz w:val="24"/>
        </w:rPr>
        <w:t>：现有 OFDM 微动感知（如 OFDM-Breathe、AI-Assisted ISAC 呼吸识别</w:t>
      </w:r>
      <w:r>
        <w:rPr>
          <w:rFonts w:ascii="Times New Roman" w:hAnsi="Times New Roman" w:eastAsia="宋体"/>
          <w:b w:val="0"/>
          <w:sz w:val="24"/>
          <w:vertAlign w:val="superscript"/>
        </w:rPr>
        <w:t>[28][29]</w:t>
      </w:r>
      <w:r>
        <w:rPr>
          <w:rFonts w:ascii="Times New Roman" w:hAnsi="Times New Roman" w:eastAsia="宋体"/>
          <w:b w:val="0"/>
          <w:sz w:val="24"/>
        </w:rPr>
        <w:t>）均基于专用感知波形或低速数据包；本文在承载实时 H.264 视频流的同一 OFDM 波形上提取微动相位，视频码率动态变化引起的子载波功率扰动对感知 SNR 的影响此前未被建模，这是本文的新贡献。</w:t>
      </w:r>
    </w:p>
    <w:p w14:paraId="577FC151">
      <w:pPr>
        <w:ind w:firstLine="480"/>
        <w:rPr>
          <w:b w:val="0"/>
          <w:bCs w:val="0"/>
        </w:rPr>
      </w:pPr>
      <w:r>
        <w:rPr>
          <w:rFonts w:ascii="Times New Roman" w:hAnsi="Times New Roman" w:eastAsia="宋体"/>
          <w:b w:val="0"/>
          <w:bCs w:val="0"/>
          <w:sz w:val="24"/>
        </w:rPr>
        <w:t>- 拟研究问题：在承载视频业务的同时，能否从同一 OFDM 波形的解调相位中提取人体呼吸与心跳信号？</w:t>
      </w:r>
    </w:p>
    <w:p w14:paraId="3097307C">
      <w:pPr>
        <w:ind w:firstLine="480"/>
        <w:rPr>
          <w:b w:val="0"/>
          <w:bCs w:val="0"/>
        </w:rPr>
      </w:pPr>
      <w:r>
        <w:rPr>
          <w:rFonts w:ascii="Times New Roman" w:hAnsi="Times New Roman" w:eastAsia="宋体"/>
          <w:b w:val="0"/>
          <w:bCs w:val="0"/>
          <w:sz w:val="24"/>
        </w:rPr>
        <w:t>- 相位灵敏度预算（定量前提）：在 3.5 GHz 载波下波长 λ≈85.7 mm，胸壁往返位移 d 引起的相位变化为 Δφ = 4πd/λ。呼吸引起的胸壁位移约 4–8 mm，对应 Δφ ≈ 0.59–1.17 rad（34°–67°），量级充裕；心跳引起的胸壁位移约 0.2–0.5 mm，对应 Δφ ≈ 0.03–0.07 rad（1.7°–4°），这才是真正受限于系统相位噪声底的部分，也是目标 C 必须先标定的原因。</w:t>
      </w:r>
    </w:p>
    <w:p w14:paraId="7BD4B339">
      <w:pPr>
        <w:ind w:firstLine="480"/>
        <w:rPr>
          <w:b w:val="0"/>
          <w:bCs w:val="0"/>
        </w:rPr>
      </w:pPr>
      <w:r>
        <w:rPr>
          <w:rFonts w:ascii="Times New Roman" w:hAnsi="Times New Roman" w:eastAsia="宋体"/>
          <w:b w:val="0"/>
          <w:bCs w:val="0"/>
          <w:sz w:val="24"/>
        </w:rPr>
        <w:t>- 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7DBB953C">
      <w:pPr>
        <w:ind w:firstLine="480"/>
        <w:jc w:val="center"/>
        <w:rPr>
          <w:b w:val="0"/>
          <w:bCs w:val="0"/>
        </w:rPr>
      </w:pPr>
      <w:r>
        <w:drawing>
          <wp:inline distT="0" distB="0" distL="114300" distR="114300">
            <wp:extent cx="5168265" cy="3075305"/>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168823" cy="3075432"/>
                    </a:xfrm>
                    <a:prstGeom prst="rect">
                      <a:avLst/>
                    </a:prstGeom>
                  </pic:spPr>
                </pic:pic>
              </a:graphicData>
            </a:graphic>
          </wp:inline>
        </w:drawing>
      </w:r>
    </w:p>
    <w:p w14:paraId="576A468E">
      <w:pPr>
        <w:ind w:firstLine="480"/>
        <w:jc w:val="center"/>
        <w:rPr>
          <w:sz w:val="21"/>
          <w:szCs w:val="21"/>
        </w:rPr>
      </w:pPr>
      <w:r>
        <w:rPr>
          <w:rFonts w:ascii="Times New Roman" w:hAnsi="Times New Roman"/>
          <w:b/>
          <w:sz w:val="21"/>
        </w:rPr>
        <w:t>图 4　非接触微动感知处理架构：由目标距离门相位到呼吸/心跳参数估计的处理流程与灵敏度预算</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相位域逐分量剥离——先由长窗谱估计出呼吸基频及谐波幅度，重构呼吸相位分量并从观测相位中减去，再对残差做心跳频带谱估计；(b) 倒谱分析——利用呼吸谐波构成周期家族、在倒谱域呈现为等间隔峰簇的特性，识别并剔除呼吸谐波分量。方法选择依前期预实验的谱结构确定。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 分层目标（递进设计）：目标 A——呼吸与心跳双参数提取与连续监测；目标 B——静止人体呼吸率可靠检测；目标 C——感知链路微动检测能力基线评估（相位噪声底、最小可检测体动幅度、所需 SNR）。三级目标各自均可支撑独立章节，按实验条件逐级推进。</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r>
        <w:rPr>
          <w:rFonts w:ascii="Times New Roman" w:hAnsi="Times New Roman"/>
          <w:b w:val="0"/>
          <w:sz w:val="24"/>
        </w:rPr>
        <w:t>其中“充分”的判据是覆盖实测残差的统计上界、而非消除全部误码；该判据的完整刻画需二维评估——良好 SNR 下的吞吐损失与衰落条件下的激活点位置，二者共同界定外码的必要性与最优档位。</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通信链路相位噪声背景下的微弱微动提取问题：商用 SDR 时钟相位噪声远高于专用雷达，需解决相位误差抑制、体动干扰分离</w:t>
      </w:r>
      <w:r>
        <w:rPr>
          <w:rFonts w:ascii="Times New Roman" w:hAnsi="Times New Roman" w:eastAsia="宋体"/>
          <w:b w:val="0"/>
          <w:sz w:val="24"/>
        </w:rPr>
        <w:t>与长时相参积累下的频率估计稳定性。</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w:t>
      </w:r>
      <w:r>
        <w:rPr>
          <w:rFonts w:ascii="Times New Roman" w:hAnsi="Times New Roman" w:eastAsia="宋体"/>
          <w:b w:val="0"/>
          <w:bCs w:val="0"/>
          <w:sz w:val="24"/>
        </w:rPr>
        <w:t>"开源平台 + 受控实验 + 模型指导"的</w:t>
      </w:r>
      <w:r>
        <w:rPr>
          <w:rFonts w:ascii="Times New Roman" w:hAnsi="Times New Roman" w:eastAsia="宋体"/>
          <w:b w:val="0"/>
          <w:sz w:val="24"/>
        </w:rPr>
        <w:t>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5]</w:t>
      </w:r>
    </w:p>
    <w:p w14:paraId="707231FF">
      <w:pPr>
        <w:jc w:val="center"/>
      </w:pPr>
      <w:r>
        <w:drawing>
          <wp:inline distT="0" distB="0" distL="114300" distR="114300">
            <wp:extent cx="5168265" cy="313309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168823" cy="3133251"/>
                    </a:xfrm>
                    <a:prstGeom prst="rect">
                      <a:avLst/>
                    </a:prstGeom>
                  </pic:spPr>
                </pic:pic>
              </a:graphicData>
            </a:graphic>
          </wp:inline>
        </w:drawing>
      </w:r>
    </w:p>
    <w:p w14:paraId="55933209">
      <w:pPr>
        <w:ind w:firstLine="480"/>
        <w:rPr>
          <w:sz w:val="21"/>
          <w:szCs w:val="21"/>
        </w:rPr>
      </w:pPr>
      <w:r>
        <w:rPr>
          <w:rFonts w:ascii="Times New Roman" w:hAnsi="Times New Roman" w:eastAsia="宋体"/>
          <w:b/>
          <w:sz w:val="21"/>
          <w:szCs w:val="21"/>
        </w:rPr>
        <w:t>图 5　技术路线总图：统一平台支撑三个研究内容的递进关系</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波形与协议：OFDM 1024-FFT / CP 128 / 100 符号 / 50 MHz 采样率（帧长 2.304 ms，≈434 帧/s）；RS(255,K) 外码（自主实现）级联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稳态统计、语义保持扰动鲁棒性测试；微动感知采用相位时序提取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4D5372E8">
      <w:pPr>
        <w:ind w:firstLine="480"/>
        <w:rPr>
          <w:b w:val="0"/>
          <w:bCs w:val="0"/>
        </w:rPr>
      </w:pPr>
      <w:r>
        <w:rPr>
          <w:rFonts w:ascii="Times New Roman" w:hAnsi="Times New Roman" w:eastAsia="宋体"/>
          <w:b w:val="0"/>
          <w:sz w:val="24"/>
        </w:rPr>
        <w:t>1</w:t>
      </w:r>
      <w:r>
        <w:rPr>
          <w:rFonts w:ascii="Times New Roman" w:hAnsi="Times New Roman" w:eastAsia="宋体"/>
          <w:b w:val="0"/>
          <w:bCs w:val="0"/>
          <w:sz w:val="24"/>
        </w:rPr>
        <w:t>. RS 外码参数的可重构化：将当前以编译期常量固定的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导频相位的高精度复用：在通信解调链路不改动硬件的前提下，把导频相位跟踪输出改造为微动测量的相参相位源（研究点 3 关键）。</w:t>
      </w:r>
    </w:p>
    <w:p w14:paraId="7359620F">
      <w:pPr>
        <w:ind w:firstLine="480"/>
      </w:pPr>
      <w:r>
        <w:rPr>
          <w:rFonts w:ascii="Times New Roman" w:hAnsi="Times New Roman" w:eastAsia="宋体"/>
          <w:b w:val="0"/>
          <w:bCs w:val="0"/>
          <w:sz w:val="24"/>
        </w:rPr>
        <w:t>4. 长时相参积累与相位噪声抑制：延长相参处理窗后载波相位漂移成为主要误差源，拟采用相位差分/高通-带</w:t>
      </w:r>
      <w:r>
        <w:rPr>
          <w:rFonts w:ascii="Times New Roman" w:hAnsi="Times New Roman" w:eastAsia="宋体"/>
          <w:b w:val="0"/>
          <w:sz w:val="24"/>
        </w:rPr>
        <w:t>通级联滤波与参考距离门相位共模消除（研究点 3 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实验数据（已闭环）：RS 四配置 Pareto 扫描（各配置稳态运行期间均无纠错事件，累计观测达 10⁵ 量级码字）、容器放大因子四方案实测、队列优化前后 5 分钟延迟轨迹、调制/码率/GOP/CP 对比实验、BER–速率曲线——以上数据已整理为 5 图 7 表（代表性结果见图 6）。</w:t>
      </w:r>
    </w:p>
    <w:p w14:paraId="7B9F6A44">
      <w:pPr>
        <w:jc w:val="center"/>
      </w:pPr>
      <w:r>
        <w:drawing>
          <wp:inline distT="0" distB="0" distL="114300" distR="114300">
            <wp:extent cx="5168265" cy="2075815"/>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168823" cy="2076097"/>
                    </a:xfrm>
                    <a:prstGeom prst="rect">
                      <a:avLst/>
                    </a:prstGeom>
                  </pic:spPr>
                </pic:pic>
              </a:graphicData>
            </a:graphic>
          </wp:inline>
        </w:drawing>
      </w:r>
    </w:p>
    <w:p w14:paraId="28664B03">
      <w:pPr>
        <w:ind w:firstLine="480"/>
      </w:pPr>
      <w:r>
        <w:rPr>
          <w:rFonts w:ascii="Times New Roman" w:hAnsi="Times New Roman" w:eastAsia="宋体"/>
          <w:b/>
          <w:sz w:val="24"/>
        </w:rPr>
        <w:t>图 6　前期完成的端到端时延实测：(a) 五分钟秒表轨迹（5 分钟内无累积趋势）；(b) 时延分解（视频解码环节占主导）</w:t>
      </w:r>
    </w:p>
    <w:p w14:paraId="69C09709">
      <w:pPr>
        <w:ind w:firstLine="480"/>
      </w:pPr>
      <w:r>
        <w:rPr>
          <w:rFonts w:ascii="Times New Roman" w:hAnsi="Times New Roman" w:eastAsia="宋体"/>
          <w:b w:val="0"/>
          <w:sz w:val="24"/>
        </w:rPr>
        <w:t xml:space="preserve">- </w:t>
      </w:r>
      <w:r>
        <w:rPr>
          <w:rFonts w:ascii="Times New Roman" w:hAnsi="Times New Roman" w:eastAsia="宋体"/>
          <w:b/>
          <w:sz w:val="24"/>
        </w:rPr>
        <w:t>论文成果</w:t>
      </w:r>
      <w:r>
        <w:rPr>
          <w:rFonts w:ascii="Times New Roman" w:hAnsi="Times New Roman" w:eastAsia="宋体"/>
          <w:b w:val="0"/>
          <w:sz w:val="24"/>
        </w:rPr>
        <w:t>：基于研究点 1 的英文论文</w:t>
      </w:r>
      <w:r>
        <w:rPr>
          <w:rFonts w:hint="eastAsia"/>
          <w:b w:val="0"/>
          <w:sz w:val="24"/>
          <w:lang w:val="en-US" w:eastAsia="zh-CN"/>
        </w:rPr>
        <w:t>初稿</w:t>
      </w:r>
      <w:r>
        <w:rPr>
          <w:rFonts w:ascii="Times New Roman" w:hAnsi="Times New Roman" w:eastAsia="宋体"/>
          <w:b w:val="0"/>
          <w:sz w:val="24"/>
        </w:rPr>
        <w:t>已完成撰写（《Least-Sufficient Protection: A Cross-Layer Experimental Study of Real-Time Video Transmission over an Open OFDM-ISAC Platform》，拟投 IEEE 系列期刊）。</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扫描、容器放大因子实测、队列优化、延迟测量、参数边界扫描）；形成英文期刊论文初稿</w:t>
      </w:r>
      <w:r>
        <w:rPr>
          <w:rFonts w:hint="eastAsia"/>
          <w:b w:val="0"/>
          <w:sz w:val="24"/>
          <w:lang w:eastAsia="zh-CN"/>
        </w:rPr>
        <w:t>。</w:t>
      </w:r>
    </w:p>
    <w:p w14:paraId="6C7C5646">
      <w:pPr>
        <w:ind w:firstLine="480"/>
      </w:pPr>
      <w:r>
        <w:rPr>
          <w:rFonts w:ascii="Times New Roman" w:hAnsi="Times New Roman" w:eastAsia="宋体"/>
          <w:b w:val="0"/>
          <w:sz w:val="24"/>
        </w:rPr>
        <w:t xml:space="preserve">- </w:t>
      </w:r>
      <w:r>
        <w:rPr>
          <w:rFonts w:ascii="Times New Roman" w:hAnsi="Times New Roman" w:eastAsia="宋体"/>
          <w:b/>
          <w:sz w:val="24"/>
        </w:rPr>
        <w:t>第二学年第一学期（2026.09–2026.12）</w:t>
      </w:r>
      <w:r>
        <w:rPr>
          <w:rFonts w:ascii="Times New Roman" w:hAnsi="Times New Roman" w:eastAsia="宋体"/>
          <w:b w:val="0"/>
          <w:sz w:val="24"/>
        </w:rPr>
        <w:t>：研究内容 1 收尾：补充 γ 实验的量化 BER 工作点记录、复核实验数据样本量与关键数值；完成小论文定稿与投稿；启动 RS 外码可重构化改造（研究内容 2 使能性工作）</w:t>
      </w:r>
      <w:r>
        <w:rPr>
          <w:rFonts w:hint="eastAsia"/>
          <w:b w:val="0"/>
          <w:sz w:val="24"/>
          <w:lang w:eastAsia="zh-CN"/>
        </w:rPr>
        <w:t>。</w:t>
      </w:r>
      <w:r>
        <w:rPr>
          <w:rFonts w:ascii="Times New Roman" w:hAnsi="Times New Roman" w:eastAsia="宋体"/>
          <w:b w:val="0"/>
          <w:sz w:val="24"/>
        </w:rPr>
        <w:t>完成 RS 外码可重构化改造；完成研究内容 2 的 SNR/残差统计量构造、自适应映射模型建立与平台运行时实现；进行微动感知相位谱可行性摸底（研究内容 3 预实验）；中期检查。</w:t>
      </w:r>
      <w:r>
        <w:rPr>
          <w:rFonts w:ascii="Times New Roman" w:hAnsi="Times New Roman"/>
          <w:b w:val="0"/>
          <w:sz w:val="24"/>
        </w:rPr>
        <w:t>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xml:space="preserve">- </w:t>
      </w:r>
      <w:r>
        <w:rPr>
          <w:rFonts w:ascii="Times New Roman" w:hAnsi="Times New Roman" w:eastAsia="宋体"/>
          <w:b/>
          <w:sz w:val="24"/>
        </w:rPr>
        <w:t>第二学年寒假与第二学期（2027.01–2027.06）</w:t>
      </w:r>
      <w:r>
        <w:rPr>
          <w:rFonts w:ascii="Times New Roman" w:hAnsi="Times New Roman" w:eastAsia="宋体"/>
          <w:b w:val="0"/>
          <w:sz w:val="24"/>
        </w:rPr>
        <w:t>：完成研究内容 2 实测对比实验；完成研究内容 3 标定实验（目标 C：相位噪声底、最小可检测位移）并推进呼吸率检测（目标 B）；企业/校外实践（按培养方案要求安排）。</w:t>
      </w:r>
    </w:p>
    <w:p w14:paraId="251735ED">
      <w:pPr>
        <w:ind w:firstLine="480"/>
      </w:pPr>
      <w:r>
        <w:rPr>
          <w:rFonts w:ascii="Times New Roman" w:hAnsi="Times New Roman" w:eastAsia="宋体"/>
          <w:b w:val="0"/>
          <w:sz w:val="24"/>
        </w:rPr>
        <w:t xml:space="preserve">- </w:t>
      </w:r>
      <w:r>
        <w:rPr>
          <w:rFonts w:ascii="Times New Roman" w:hAnsi="Times New Roman" w:eastAsia="宋体"/>
          <w:b/>
          <w:sz w:val="24"/>
        </w:rPr>
        <w:t>第三学年第一学期（2027.09–2027.12）</w:t>
      </w:r>
      <w:r>
        <w:rPr>
          <w:rFonts w:ascii="Times New Roman" w:hAnsi="Times New Roman" w:eastAsia="宋体"/>
          <w:b w:val="0"/>
          <w:sz w:val="24"/>
        </w:rPr>
        <w:t>：完成研究内容 3 剩余实验（争取双参数提取，目标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2. 英文期刊/会议论文 1–2 篇（研究点 1 论文已完成撰写；研究点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r>
        <w:rPr>
          <w:rFonts w:ascii="Times New Roman" w:hAnsi="Times New Roman" w:eastAsia="宋体"/>
          <w:b w:val="0"/>
          <w:sz w:val="24"/>
        </w:rPr>
        <w:t xml:space="preserve">   - 研究点 1：端到端延迟 ≤ 300 ms 且 10 分钟内无累积趋势；视频速率下有效载荷误码率 ≤ 10⁻⁶；较前期部署配置的有效吞吐提升 ≥ 8%；</w:t>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研究点 3 的微弱信号检测风险：商用 SDR 相位噪声较高，心跳信号（毫米级体动）提取存在不确定性。对策：研究内容按递进目标设计（能力基线评估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3A753DA1">
      <w:pPr>
        <w:ind w:firstLine="480"/>
      </w:pPr>
      <w:r>
        <w:rPr>
          <w:rFonts w:ascii="Times New Roman" w:hAnsi="Times New Roman" w:eastAsia="宋体"/>
          <w:b w:val="0"/>
          <w:sz w:val="24"/>
        </w:rPr>
        <w:t>[28] WANG P, WANG S, ZHENG M, ZHANG Z, BAO J. Multi-target vital signs detection using millimeter-wave FMCW radar[J]. IEEE Transactions on Instrumentation and Measurement, 2024, 73: 1-13. DOI: 10.1109/TIM.2023.3334360.</w:t>
      </w:r>
    </w:p>
    <w:p w14:paraId="0E8CA77B">
      <w:pPr>
        <w:ind w:firstLine="480"/>
      </w:pPr>
      <w:r>
        <w:rPr>
          <w:rFonts w:ascii="Times New Roman" w:hAnsi="Times New Roman" w:eastAsia="宋体"/>
          <w:b w:val="0"/>
          <w:sz w:val="24"/>
        </w:rPr>
        <w:t>[29] WANG Y, ZHOU S, NIU Z. AI-Assisted Composite ISAC for mmWave Respiration Pattern Recognition[J]. IEEE Transactions on Wireless Communications, 2025, 24(3): 1820-1835.</w:t>
      </w:r>
    </w:p>
    <w:p w14:paraId="458046BE">
      <w:pPr>
        <w:ind w:firstLine="480"/>
      </w:pPr>
      <w:r>
        <w:rPr>
          <w:rFonts w:ascii="Times New Roman" w:hAnsi="Times New Roman" w:eastAsia="宋体"/>
          <w:b w:val="0"/>
          <w:sz w:val="24"/>
        </w:rPr>
        <w:t>[30] ZHOU T, ZHANG H, YU X, et al. Resolving Multi-Target Association in OFDM-based ISAC via Vision-aided Multi-Modal Learning[J]. arXiv preprint, 2026, arXiv:2603.08421.</w:t>
      </w:r>
    </w:p>
    <w:p w14:paraId="6DD16891">
      <w:pPr>
        <w:ind w:firstLine="480"/>
      </w:pPr>
      <w:r>
        <w:rPr>
          <w:rFonts w:ascii="Times New Roman" w:hAnsi="Times New Roman" w:eastAsia="宋体"/>
          <w:b w:val="0"/>
          <w:sz w:val="24"/>
        </w:rPr>
        <w:t>[31] 李晓柏, 周涛, 钱骅, 等. 基于VMD-HHT的OFDM信道状态信息人体微动检测方法[J]. 电子与信息学报, 2025, 47(2): 456-463.</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2F60C9"/>
    <w:rsid w:val="544A34E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5146</Words>
  <Characters>6121</Characters>
  <Lines>0</Lines>
  <Paragraphs>0</Paragraphs>
  <TotalTime>40</TotalTime>
  <ScaleCrop>false</ScaleCrop>
  <LinksUpToDate>false</LinksUpToDate>
  <CharactersWithSpaces>6450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2026-10-19T13:40:41Z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