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3A3C" w14:textId="33B672E0" w:rsidR="009931A0" w:rsidRPr="009931A0" w:rsidRDefault="009931A0" w:rsidP="009931A0">
      <w:pPr>
        <w:pStyle w:val="14"/>
        <w:ind w:firstLine="706"/>
        <w:rPr>
          <w:sz w:val="22"/>
          <w:szCs w:val="22"/>
        </w:rPr>
      </w:pPr>
      <w:r w:rsidRPr="009931A0">
        <w:rPr>
          <w:sz w:val="22"/>
          <w:szCs w:val="22"/>
        </w:rPr>
        <w:t>УДК</w:t>
      </w:r>
      <w:r w:rsidRPr="00834B2B">
        <w:rPr>
          <w:sz w:val="22"/>
          <w:szCs w:val="22"/>
        </w:rPr>
        <w:t xml:space="preserve"> 33-336</w:t>
      </w:r>
    </w:p>
    <w:p w14:paraId="7F57BDC9" w14:textId="418ED2D1" w:rsidR="009931A0" w:rsidRPr="009931A0" w:rsidRDefault="009931A0" w:rsidP="009931A0">
      <w:pPr>
        <w:pStyle w:val="14"/>
        <w:spacing w:before="120"/>
        <w:ind w:firstLine="706"/>
        <w:jc w:val="center"/>
        <w:rPr>
          <w:b/>
          <w:bCs/>
        </w:rPr>
      </w:pPr>
      <w:r w:rsidRPr="009931A0">
        <w:rPr>
          <w:b/>
          <w:bCs/>
        </w:rPr>
        <w:t>Сравнительный анализ различных методов моделирования риска и доходности портфолио для российских акций.</w:t>
      </w:r>
    </w:p>
    <w:p w14:paraId="1F3A6775" w14:textId="5FF4AFF4" w:rsidR="009931A0" w:rsidRPr="009931A0" w:rsidRDefault="009931A0" w:rsidP="009931A0">
      <w:pPr>
        <w:pStyle w:val="14"/>
        <w:spacing w:before="120"/>
        <w:ind w:firstLine="706"/>
        <w:jc w:val="center"/>
        <w:rPr>
          <w:b/>
          <w:bCs/>
          <w:i/>
          <w:iCs/>
        </w:rPr>
      </w:pPr>
      <w:r w:rsidRPr="009931A0">
        <w:rPr>
          <w:b/>
          <w:bCs/>
          <w:i/>
          <w:iCs/>
        </w:rPr>
        <w:t>И.О.Панин</w:t>
      </w:r>
      <w:r>
        <w:rPr>
          <w:b/>
          <w:bCs/>
          <w:i/>
          <w:iCs/>
          <w:vertAlign w:val="superscript"/>
        </w:rPr>
        <w:t>1</w:t>
      </w:r>
    </w:p>
    <w:p w14:paraId="5077A46D" w14:textId="490EFEFA" w:rsidR="009931A0" w:rsidRDefault="009931A0" w:rsidP="009931A0">
      <w:pPr>
        <w:pStyle w:val="14"/>
        <w:spacing w:before="120"/>
        <w:ind w:firstLine="706"/>
        <w:jc w:val="center"/>
        <w:rPr>
          <w:sz w:val="22"/>
          <w:szCs w:val="22"/>
        </w:rPr>
      </w:pPr>
      <w:r w:rsidRPr="009931A0">
        <w:rPr>
          <w:sz w:val="22"/>
          <w:szCs w:val="22"/>
          <w:vertAlign w:val="superscript"/>
        </w:rPr>
        <w:t>1</w:t>
      </w:r>
      <w:r w:rsidRPr="009931A0">
        <w:rPr>
          <w:sz w:val="22"/>
          <w:szCs w:val="22"/>
        </w:rPr>
        <w:t>Московский физико-технический институт (государственный университет)</w:t>
      </w:r>
    </w:p>
    <w:p w14:paraId="77D8D5B4" w14:textId="77777777" w:rsidR="009931A0" w:rsidRPr="009931A0" w:rsidRDefault="009931A0" w:rsidP="009931A0">
      <w:pPr>
        <w:pStyle w:val="14"/>
        <w:spacing w:before="120"/>
        <w:ind w:firstLine="706"/>
        <w:jc w:val="center"/>
        <w:rPr>
          <w:sz w:val="22"/>
          <w:szCs w:val="22"/>
        </w:rPr>
      </w:pPr>
    </w:p>
    <w:p w14:paraId="67076CBD" w14:textId="191415A0" w:rsidR="00CE7501" w:rsidRDefault="009931A0" w:rsidP="00CE7501">
      <w:pPr>
        <w:ind w:firstLine="706"/>
        <w:jc w:val="both"/>
        <w:rPr>
          <w:rFonts w:ascii="Times New Roman" w:eastAsia="Times New Roman" w:hAnsi="Times New Roman" w:cs="Times New Roman"/>
          <w:sz w:val="22"/>
          <w:szCs w:val="22"/>
          <w:lang w:val="ru-RU"/>
        </w:rPr>
      </w:pPr>
      <w:r w:rsidRPr="009931A0">
        <w:rPr>
          <w:rFonts w:ascii="Times New Roman" w:eastAsia="Times New Roman" w:hAnsi="Times New Roman" w:cs="Times New Roman"/>
          <w:sz w:val="22"/>
          <w:szCs w:val="22"/>
          <w:lang w:val="ru-RU"/>
        </w:rPr>
        <w:t>Существует</w:t>
      </w:r>
      <w:r>
        <w:rPr>
          <w:rFonts w:ascii="Times New Roman" w:eastAsia="Times New Roman" w:hAnsi="Times New Roman" w:cs="Times New Roman"/>
          <w:sz w:val="22"/>
          <w:szCs w:val="22"/>
          <w:lang w:val="ru-RU"/>
        </w:rPr>
        <w:t xml:space="preserve"> </w:t>
      </w:r>
      <w:r w:rsidRPr="009931A0">
        <w:rPr>
          <w:rFonts w:ascii="Times New Roman" w:eastAsia="Times New Roman" w:hAnsi="Times New Roman" w:cs="Times New Roman"/>
          <w:sz w:val="22"/>
          <w:szCs w:val="22"/>
          <w:lang w:val="ru-RU"/>
        </w:rPr>
        <w:t>большое</w:t>
      </w:r>
      <w:r>
        <w:rPr>
          <w:rFonts w:ascii="Times New Roman" w:eastAsia="Times New Roman" w:hAnsi="Times New Roman" w:cs="Times New Roman"/>
          <w:sz w:val="22"/>
          <w:szCs w:val="22"/>
          <w:lang w:val="ru-RU"/>
        </w:rPr>
        <w:t xml:space="preserve"> </w:t>
      </w:r>
      <w:r w:rsidRPr="009931A0">
        <w:rPr>
          <w:rFonts w:ascii="Times New Roman" w:eastAsia="Times New Roman" w:hAnsi="Times New Roman" w:cs="Times New Roman"/>
          <w:sz w:val="22"/>
          <w:szCs w:val="22"/>
          <w:lang w:val="ru-RU"/>
        </w:rPr>
        <w:t>количество</w:t>
      </w:r>
      <w:r>
        <w:rPr>
          <w:rFonts w:ascii="Times New Roman" w:eastAsia="Times New Roman" w:hAnsi="Times New Roman" w:cs="Times New Roman"/>
          <w:sz w:val="22"/>
          <w:szCs w:val="22"/>
          <w:lang w:val="ru-RU"/>
        </w:rPr>
        <w:t xml:space="preserve"> </w:t>
      </w:r>
      <w:r w:rsidRPr="009931A0">
        <w:rPr>
          <w:rFonts w:ascii="Times New Roman" w:eastAsia="Times New Roman" w:hAnsi="Times New Roman" w:cs="Times New Roman"/>
          <w:sz w:val="22"/>
          <w:szCs w:val="22"/>
          <w:lang w:val="ru-RU"/>
        </w:rPr>
        <w:t>работ,</w:t>
      </w:r>
      <w:r>
        <w:rPr>
          <w:rFonts w:ascii="Times New Roman" w:eastAsia="Times New Roman" w:hAnsi="Times New Roman" w:cs="Times New Roman"/>
          <w:sz w:val="22"/>
          <w:szCs w:val="22"/>
          <w:lang w:val="ru-RU"/>
        </w:rPr>
        <w:t xml:space="preserve"> </w:t>
      </w:r>
      <w:r w:rsidRPr="009931A0">
        <w:rPr>
          <w:rFonts w:ascii="Times New Roman" w:eastAsia="Times New Roman" w:hAnsi="Times New Roman" w:cs="Times New Roman"/>
          <w:sz w:val="22"/>
          <w:szCs w:val="22"/>
          <w:lang w:val="ru-RU"/>
        </w:rPr>
        <w:t xml:space="preserve">в которых рассматривается составление портфолио. Начиная с известной монографии Генри </w:t>
      </w:r>
      <w:proofErr w:type="spellStart"/>
      <w:proofErr w:type="gramStart"/>
      <w:r w:rsidRPr="009931A0">
        <w:rPr>
          <w:rFonts w:ascii="Times New Roman" w:eastAsia="Times New Roman" w:hAnsi="Times New Roman" w:cs="Times New Roman"/>
          <w:sz w:val="22"/>
          <w:szCs w:val="22"/>
          <w:lang w:val="ru-RU"/>
        </w:rPr>
        <w:t>Марковица</w:t>
      </w:r>
      <w:proofErr w:type="spellEnd"/>
      <w:r w:rsidR="00834B2B" w:rsidRPr="00834B2B">
        <w:rPr>
          <w:rFonts w:ascii="Times New Roman" w:eastAsia="Times New Roman" w:hAnsi="Times New Roman" w:cs="Times New Roman"/>
          <w:sz w:val="22"/>
          <w:szCs w:val="22"/>
          <w:lang w:val="ru-RU"/>
        </w:rPr>
        <w:t>[</w:t>
      </w:r>
      <w:proofErr w:type="gramEnd"/>
      <w:r w:rsidR="00834B2B" w:rsidRPr="00834B2B">
        <w:rPr>
          <w:rFonts w:ascii="Times New Roman" w:eastAsia="Times New Roman" w:hAnsi="Times New Roman" w:cs="Times New Roman"/>
          <w:sz w:val="22"/>
          <w:szCs w:val="22"/>
          <w:lang w:val="ru-RU"/>
        </w:rPr>
        <w:t>1]</w:t>
      </w:r>
      <w:r w:rsidRPr="009931A0">
        <w:rPr>
          <w:rFonts w:ascii="Times New Roman" w:eastAsia="Times New Roman" w:hAnsi="Times New Roman" w:cs="Times New Roman"/>
          <w:sz w:val="22"/>
          <w:szCs w:val="22"/>
          <w:lang w:val="ru-RU"/>
        </w:rPr>
        <w:t xml:space="preserve"> было предложено множество различных подходов к моделированию риска и доходности от простой "модели эффективного рынка" до сложных </w:t>
      </w:r>
      <w:proofErr w:type="spellStart"/>
      <w:r w:rsidRPr="009931A0">
        <w:rPr>
          <w:rFonts w:ascii="Times New Roman" w:eastAsia="Times New Roman" w:hAnsi="Times New Roman" w:cs="Times New Roman"/>
          <w:sz w:val="22"/>
          <w:szCs w:val="22"/>
          <w:lang w:val="ru-RU"/>
        </w:rPr>
        <w:t>гетероскедастических</w:t>
      </w:r>
      <w:proofErr w:type="spellEnd"/>
      <w:r w:rsidRPr="009931A0">
        <w:rPr>
          <w:rFonts w:ascii="Times New Roman" w:eastAsia="Times New Roman" w:hAnsi="Times New Roman" w:cs="Times New Roman"/>
          <w:sz w:val="22"/>
          <w:szCs w:val="22"/>
          <w:lang w:val="ru-RU"/>
        </w:rPr>
        <w:t xml:space="preserve"> моделей.</w:t>
      </w:r>
    </w:p>
    <w:p w14:paraId="0DECB178" w14:textId="77777777" w:rsidR="00CE7501" w:rsidRDefault="00CE7501" w:rsidP="00CE7501">
      <w:pPr>
        <w:ind w:firstLine="706"/>
        <w:jc w:val="both"/>
        <w:rPr>
          <w:rFonts w:ascii="Times New Roman" w:eastAsia="Times New Roman" w:hAnsi="Times New Roman" w:cs="Times New Roman"/>
          <w:sz w:val="22"/>
          <w:szCs w:val="22"/>
          <w:lang w:val="ru-RU"/>
        </w:rPr>
      </w:pPr>
    </w:p>
    <w:p w14:paraId="3E58BADA" w14:textId="22E38832" w:rsidR="009931A0" w:rsidRDefault="009931A0" w:rsidP="00CE7501">
      <w:pPr>
        <w:ind w:firstLine="706"/>
        <w:jc w:val="both"/>
        <w:rPr>
          <w:rFonts w:ascii="Times New Roman" w:eastAsia="Times New Roman" w:hAnsi="Times New Roman" w:cs="Times New Roman"/>
          <w:sz w:val="22"/>
          <w:szCs w:val="22"/>
          <w:lang w:val="ru-RU"/>
        </w:rPr>
      </w:pPr>
      <w:r w:rsidRPr="009931A0">
        <w:rPr>
          <w:rFonts w:ascii="Times New Roman" w:eastAsia="Times New Roman" w:hAnsi="Times New Roman" w:cs="Times New Roman"/>
          <w:sz w:val="22"/>
          <w:szCs w:val="22"/>
          <w:lang w:val="ru-RU"/>
        </w:rPr>
        <w:t xml:space="preserve"> Одним из основных факторов экономического прогнозирования является предположение о стационарности исследуемых величин на промежутке измерений. </w:t>
      </w:r>
      <w:r>
        <w:rPr>
          <w:rFonts w:ascii="Times New Roman" w:eastAsia="Times New Roman" w:hAnsi="Times New Roman" w:cs="Times New Roman"/>
          <w:sz w:val="22"/>
          <w:szCs w:val="22"/>
          <w:lang w:val="ru-RU"/>
        </w:rPr>
        <w:t>При составлении портфолио задача состоит в наиболее точной оценке корреляционной матрицы активов по имеющимся данным. На основе полученной матрицы далее выбирается множество эффективных (наибольшее математическое ожидание при заданной дисперсии) портфолио, для которых строится прогноз. Написано большое количество статей, рассматривающих различные способы оценки корреляционных матриц. Однако, анализа методов на данных Российского фондового рынка ранее не проводилось.</w:t>
      </w:r>
    </w:p>
    <w:p w14:paraId="221F6EB7" w14:textId="2827C2FD" w:rsidR="009931A0" w:rsidRDefault="009931A0" w:rsidP="009931A0">
      <w:pPr>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w:t>
      </w:r>
    </w:p>
    <w:p w14:paraId="00A0AE64" w14:textId="6702A742" w:rsidR="009931A0" w:rsidRDefault="009931A0" w:rsidP="00CE7501">
      <w:pPr>
        <w:ind w:firstLine="706"/>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В данной работе проводится оценка точности различных моделей составления портфолио. В работе использовались данные по 39 наиболее ликвидным компаниям российского фондового рынка (суточный объем торгов превышает 10 млн. рублей на конец ноября 2018 года). Всего 2203 котировочных значения для каждой акции за период 2010-2018 гг. Дивидендная доходность была учтена в соответствующие даты закрытия реестра дивидендов по каждому из инструментов.</w:t>
      </w:r>
    </w:p>
    <w:p w14:paraId="66EF09BD" w14:textId="39B40F92" w:rsidR="009931A0" w:rsidRDefault="009931A0" w:rsidP="009931A0">
      <w:pPr>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 </w:t>
      </w:r>
    </w:p>
    <w:p w14:paraId="4BC616CD" w14:textId="26FBE69E" w:rsidR="009931A0" w:rsidRDefault="009931A0" w:rsidP="00CE7501">
      <w:pPr>
        <w:ind w:firstLine="706"/>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В работе были рассмотрены оценки корреляционной матрицы по трем временным периодам (200, 500, 1000 дней) тремя разными способами. Метод оценки </w:t>
      </w:r>
      <w:r>
        <w:rPr>
          <w:rFonts w:ascii="Times New Roman" w:eastAsia="Times New Roman" w:hAnsi="Times New Roman" w:cs="Times New Roman"/>
          <w:sz w:val="22"/>
          <w:szCs w:val="22"/>
        </w:rPr>
        <w:t>in</w:t>
      </w:r>
      <w:r w:rsidRPr="009931A0">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sample</w:t>
      </w:r>
      <w:r w:rsidRPr="009931A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lang w:val="ru-RU"/>
        </w:rPr>
        <w:t>без нормализации, с предварительной нормализацией входящих данных</w:t>
      </w:r>
      <w:r w:rsidR="00834B2B" w:rsidRPr="00834B2B">
        <w:rPr>
          <w:rFonts w:ascii="Times New Roman" w:eastAsia="Times New Roman" w:hAnsi="Times New Roman" w:cs="Times New Roman"/>
          <w:sz w:val="22"/>
          <w:szCs w:val="22"/>
          <w:lang w:val="ru-RU"/>
        </w:rPr>
        <w:t>[2]</w:t>
      </w:r>
      <w:r>
        <w:rPr>
          <w:rFonts w:ascii="Times New Roman" w:eastAsia="Times New Roman" w:hAnsi="Times New Roman" w:cs="Times New Roman"/>
          <w:sz w:val="22"/>
          <w:szCs w:val="22"/>
          <w:lang w:val="ru-RU"/>
        </w:rPr>
        <w:t xml:space="preserve">, а также оценка с очисткой матриц от шума методом </w:t>
      </w:r>
      <w:r>
        <w:rPr>
          <w:rFonts w:ascii="Times New Roman" w:eastAsia="Times New Roman" w:hAnsi="Times New Roman" w:cs="Times New Roman"/>
          <w:sz w:val="22"/>
          <w:szCs w:val="22"/>
        </w:rPr>
        <w:t>Eigenvalues</w:t>
      </w:r>
      <w:r w:rsidRPr="009931A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Clipping</w:t>
      </w:r>
      <w:r w:rsidRPr="009931A0">
        <w:rPr>
          <w:rFonts w:ascii="Times New Roman" w:eastAsia="Times New Roman" w:hAnsi="Times New Roman" w:cs="Times New Roman"/>
          <w:sz w:val="22"/>
          <w:szCs w:val="22"/>
          <w:lang w:val="ru-RU"/>
        </w:rPr>
        <w:t xml:space="preserve"> (</w:t>
      </w:r>
      <w:proofErr w:type="spellStart"/>
      <w:r w:rsidRPr="009931A0">
        <w:rPr>
          <w:rFonts w:ascii="Times New Roman" w:eastAsia="Times New Roman" w:hAnsi="Times New Roman" w:cs="Times New Roman"/>
          <w:sz w:val="22"/>
          <w:szCs w:val="22"/>
        </w:rPr>
        <w:t>Bouchaud</w:t>
      </w:r>
      <w:proofErr w:type="spellEnd"/>
      <w:r w:rsidRPr="009931A0">
        <w:rPr>
          <w:rFonts w:ascii="Times New Roman" w:eastAsia="Times New Roman" w:hAnsi="Times New Roman" w:cs="Times New Roman"/>
          <w:sz w:val="22"/>
          <w:szCs w:val="22"/>
          <w:lang w:val="ru-RU"/>
        </w:rPr>
        <w:t xml:space="preserve"> &amp; </w:t>
      </w:r>
      <w:r w:rsidRPr="009931A0">
        <w:rPr>
          <w:rFonts w:ascii="Times New Roman" w:eastAsia="Times New Roman" w:hAnsi="Times New Roman" w:cs="Times New Roman"/>
          <w:sz w:val="22"/>
          <w:szCs w:val="22"/>
        </w:rPr>
        <w:t>Potters</w:t>
      </w:r>
      <w:r w:rsidRPr="009931A0">
        <w:rPr>
          <w:rFonts w:ascii="Times New Roman" w:eastAsia="Times New Roman" w:hAnsi="Times New Roman" w:cs="Times New Roman"/>
          <w:sz w:val="22"/>
          <w:szCs w:val="22"/>
          <w:lang w:val="ru-RU"/>
        </w:rPr>
        <w:t xml:space="preserve"> 2011)</w:t>
      </w:r>
      <w:r w:rsidR="00834B2B" w:rsidRPr="00834B2B">
        <w:rPr>
          <w:rFonts w:ascii="Times New Roman" w:eastAsia="Times New Roman" w:hAnsi="Times New Roman" w:cs="Times New Roman"/>
          <w:sz w:val="22"/>
          <w:szCs w:val="22"/>
          <w:lang w:val="ru-RU"/>
        </w:rPr>
        <w:t>[3</w:t>
      </w:r>
      <w:r w:rsidR="006D5F25">
        <w:rPr>
          <w:rFonts w:ascii="Times New Roman" w:eastAsia="Times New Roman" w:hAnsi="Times New Roman" w:cs="Times New Roman"/>
          <w:sz w:val="22"/>
          <w:szCs w:val="22"/>
          <w:lang w:val="ru-RU"/>
        </w:rPr>
        <w:t>ы</w:t>
      </w:r>
      <w:bookmarkStart w:id="0" w:name="_GoBack"/>
      <w:bookmarkEnd w:id="0"/>
      <w:r w:rsidR="00834B2B" w:rsidRPr="00834B2B">
        <w:rPr>
          <w:rFonts w:ascii="Times New Roman" w:eastAsia="Times New Roman" w:hAnsi="Times New Roman" w:cs="Times New Roman"/>
          <w:sz w:val="22"/>
          <w:szCs w:val="22"/>
          <w:lang w:val="ru-RU"/>
        </w:rPr>
        <w:t>4]</w:t>
      </w:r>
      <w:r w:rsidRPr="009931A0">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lang w:val="ru-RU"/>
        </w:rPr>
        <w:t xml:space="preserve">Различные периоды расчета обладают известными преимуществами и недостатками- оценка по более короткому периоду сильнее страдает от шума, тогда как на оценке по длинному сказывается </w:t>
      </w:r>
      <w:proofErr w:type="spellStart"/>
      <w:r>
        <w:rPr>
          <w:rFonts w:ascii="Times New Roman" w:eastAsia="Times New Roman" w:hAnsi="Times New Roman" w:cs="Times New Roman"/>
          <w:sz w:val="22"/>
          <w:szCs w:val="22"/>
          <w:lang w:val="ru-RU"/>
        </w:rPr>
        <w:t>нестационарность</w:t>
      </w:r>
      <w:proofErr w:type="spellEnd"/>
      <w:r>
        <w:rPr>
          <w:rFonts w:ascii="Times New Roman" w:eastAsia="Times New Roman" w:hAnsi="Times New Roman" w:cs="Times New Roman"/>
          <w:sz w:val="22"/>
          <w:szCs w:val="22"/>
          <w:lang w:val="ru-RU"/>
        </w:rPr>
        <w:t xml:space="preserve"> коэффициентов </w:t>
      </w:r>
      <w:proofErr w:type="gramStart"/>
      <w:r>
        <w:rPr>
          <w:rFonts w:ascii="Times New Roman" w:eastAsia="Times New Roman" w:hAnsi="Times New Roman" w:cs="Times New Roman"/>
          <w:sz w:val="22"/>
          <w:szCs w:val="22"/>
          <w:lang w:val="ru-RU"/>
        </w:rPr>
        <w:t>корреляции</w:t>
      </w:r>
      <w:r w:rsidR="00834B2B" w:rsidRPr="00834B2B">
        <w:rPr>
          <w:rFonts w:ascii="Times New Roman" w:eastAsia="Times New Roman" w:hAnsi="Times New Roman" w:cs="Times New Roman"/>
          <w:sz w:val="22"/>
          <w:szCs w:val="22"/>
          <w:lang w:val="ru-RU"/>
        </w:rPr>
        <w:t>[</w:t>
      </w:r>
      <w:proofErr w:type="gramEnd"/>
      <w:r w:rsidR="00834B2B" w:rsidRPr="00834B2B">
        <w:rPr>
          <w:rFonts w:ascii="Times New Roman" w:eastAsia="Times New Roman" w:hAnsi="Times New Roman" w:cs="Times New Roman"/>
          <w:sz w:val="22"/>
          <w:szCs w:val="22"/>
          <w:lang w:val="ru-RU"/>
        </w:rPr>
        <w:t>5]</w:t>
      </w:r>
      <w:r>
        <w:rPr>
          <w:rFonts w:ascii="Times New Roman" w:eastAsia="Times New Roman" w:hAnsi="Times New Roman" w:cs="Times New Roman"/>
          <w:sz w:val="22"/>
          <w:szCs w:val="22"/>
          <w:lang w:val="ru-RU"/>
        </w:rPr>
        <w:t>.</w:t>
      </w:r>
    </w:p>
    <w:p w14:paraId="645EA9B7" w14:textId="1EA1BDE7" w:rsidR="009931A0" w:rsidRDefault="009931A0" w:rsidP="009931A0">
      <w:pPr>
        <w:jc w:val="both"/>
        <w:rPr>
          <w:rFonts w:ascii="Times New Roman" w:eastAsia="Times New Roman" w:hAnsi="Times New Roman" w:cs="Times New Roman"/>
          <w:sz w:val="22"/>
          <w:szCs w:val="22"/>
          <w:lang w:val="ru-RU"/>
        </w:rPr>
      </w:pPr>
    </w:p>
    <w:p w14:paraId="4C99C817" w14:textId="4BD1AF9D" w:rsidR="00CE7501" w:rsidRDefault="009931A0" w:rsidP="00CE7501">
      <w:pPr>
        <w:ind w:firstLine="706"/>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Для каждой из моделей были построены эффективные портфолио. Для всех эффективных портфолио получены ожидаемые суточные риск и доходность (мат. ожидание </w:t>
      </w:r>
      <w:r w:rsidRPr="009931A0">
        <w:rPr>
          <w:rFonts w:ascii="Times New Roman" w:eastAsia="Times New Roman" w:hAnsi="Times New Roman" w:cs="Times New Roman"/>
          <w:i/>
          <w:iCs/>
          <w:sz w:val="22"/>
          <w:szCs w:val="22"/>
        </w:rPr>
        <w:t>A</w:t>
      </w:r>
      <w:r>
        <w:rPr>
          <w:rFonts w:ascii="Times New Roman" w:eastAsia="Times New Roman" w:hAnsi="Times New Roman" w:cs="Times New Roman"/>
          <w:sz w:val="22"/>
          <w:szCs w:val="22"/>
          <w:lang w:val="ru-RU"/>
        </w:rPr>
        <w:t xml:space="preserve"> и дисперсия</w:t>
      </w:r>
      <w:r w:rsidRPr="009931A0">
        <w:rPr>
          <w:rFonts w:ascii="Times New Roman" w:eastAsia="Times New Roman" w:hAnsi="Times New Roman" w:cs="Times New Roman"/>
          <w:sz w:val="22"/>
          <w:szCs w:val="22"/>
          <w:lang w:val="ru-RU"/>
        </w:rPr>
        <w:t xml:space="preserve"> </w:t>
      </w:r>
      <w:proofErr w:type="spellStart"/>
      <w:r w:rsidRPr="009931A0">
        <w:rPr>
          <w:rFonts w:ascii="Times New Roman" w:eastAsia="Times New Roman" w:hAnsi="Times New Roman" w:cs="Times New Roman"/>
          <w:i/>
          <w:iCs/>
          <w:sz w:val="22"/>
          <w:szCs w:val="22"/>
        </w:rPr>
        <w:t>sd</w:t>
      </w:r>
      <w:proofErr w:type="spellEnd"/>
      <w:r w:rsidRPr="009931A0">
        <w:rPr>
          <w:rFonts w:ascii="Times New Roman" w:eastAsia="Times New Roman" w:hAnsi="Times New Roman" w:cs="Times New Roman"/>
          <w:i/>
          <w:iCs/>
          <w:sz w:val="22"/>
          <w:szCs w:val="22"/>
          <w:lang w:val="ru-RU"/>
        </w:rPr>
        <w:t>(</w:t>
      </w:r>
      <w:r w:rsidRPr="009931A0">
        <w:rPr>
          <w:rFonts w:ascii="Times New Roman" w:eastAsia="Times New Roman" w:hAnsi="Times New Roman" w:cs="Times New Roman"/>
          <w:i/>
          <w:iCs/>
          <w:sz w:val="22"/>
          <w:szCs w:val="22"/>
        </w:rPr>
        <w:t>A</w:t>
      </w:r>
      <w:r w:rsidRPr="009931A0">
        <w:rPr>
          <w:rFonts w:ascii="Times New Roman" w:eastAsia="Times New Roman" w:hAnsi="Times New Roman" w:cs="Times New Roman"/>
          <w:i/>
          <w:iCs/>
          <w:sz w:val="22"/>
          <w:szCs w:val="22"/>
          <w:lang w:val="ru-RU"/>
        </w:rPr>
        <w:t>)</w:t>
      </w:r>
      <w:r>
        <w:rPr>
          <w:rFonts w:ascii="Times New Roman" w:eastAsia="Times New Roman" w:hAnsi="Times New Roman" w:cs="Times New Roman"/>
          <w:sz w:val="22"/>
          <w:szCs w:val="22"/>
          <w:lang w:val="ru-RU"/>
        </w:rPr>
        <w:t xml:space="preserve">). Далее проведено сравнение прогнозных величин с полученными в действительности. Показано, что распределение величины  </w:t>
      </w:r>
      <m:oMath>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rPr>
                  <m:t>E</m:t>
                </m:r>
              </m:e>
              <m:sub>
                <m:r>
                  <w:rPr>
                    <w:rFonts w:ascii="Cambria Math" w:eastAsiaTheme="minorEastAsia" w:hAnsi="Cambria Math"/>
                    <w:lang w:val="ru-RU"/>
                  </w:rPr>
                  <m:t>real</m:t>
                </m:r>
              </m:sub>
            </m:sSub>
            <m:r>
              <w:rPr>
                <w:rFonts w:ascii="Cambria Math" w:eastAsiaTheme="minorEastAsia" w:hAnsi="Cambria Math"/>
                <w:lang w:val="ru-RU"/>
              </w:rPr>
              <m:t>-A</m:t>
            </m:r>
          </m:num>
          <m:den>
            <m:r>
              <w:rPr>
                <w:rFonts w:ascii="Cambria Math" w:eastAsiaTheme="minorEastAsia" w:hAnsi="Cambria Math"/>
                <w:lang w:val="ru-RU"/>
              </w:rPr>
              <m:t>sd(A)</m:t>
            </m:r>
          </m:den>
        </m:f>
      </m:oMath>
      <w:r w:rsidRPr="009931A0">
        <w:rPr>
          <w:rFonts w:ascii="Times New Roman" w:eastAsia="Times New Roman" w:hAnsi="Times New Roman" w:cs="Times New Roman"/>
          <w:lang w:val="ru-RU"/>
        </w:rPr>
        <w:t xml:space="preserve"> </w:t>
      </w:r>
      <w:r w:rsidRPr="009931A0">
        <w:rPr>
          <w:rFonts w:ascii="Times New Roman" w:eastAsia="Times New Roman" w:hAnsi="Times New Roman" w:cs="Times New Roman"/>
          <w:sz w:val="22"/>
          <w:szCs w:val="22"/>
          <w:lang w:val="ru-RU"/>
        </w:rPr>
        <w:t xml:space="preserve">хорошо </w:t>
      </w:r>
      <w:r>
        <w:rPr>
          <w:rFonts w:ascii="Times New Roman" w:eastAsia="Times New Roman" w:hAnsi="Times New Roman" w:cs="Times New Roman"/>
          <w:sz w:val="22"/>
          <w:szCs w:val="22"/>
          <w:lang w:val="ru-RU"/>
        </w:rPr>
        <w:t xml:space="preserve">приближается симметричными </w:t>
      </w:r>
      <w:proofErr w:type="spellStart"/>
      <w:r>
        <w:rPr>
          <w:rFonts w:ascii="Times New Roman" w:eastAsia="Times New Roman" w:hAnsi="Times New Roman" w:cs="Times New Roman"/>
          <w:sz w:val="22"/>
          <w:szCs w:val="22"/>
          <w:lang w:val="ru-RU"/>
        </w:rPr>
        <w:t>парето</w:t>
      </w:r>
      <w:proofErr w:type="spellEnd"/>
      <w:r>
        <w:rPr>
          <w:rFonts w:ascii="Times New Roman" w:eastAsia="Times New Roman" w:hAnsi="Times New Roman" w:cs="Times New Roman"/>
          <w:sz w:val="22"/>
          <w:szCs w:val="22"/>
          <w:lang w:val="ru-RU"/>
        </w:rPr>
        <w:t xml:space="preserve">-стабильными </w:t>
      </w:r>
      <w:proofErr w:type="gramStart"/>
      <w:r>
        <w:rPr>
          <w:rFonts w:ascii="Times New Roman" w:eastAsia="Times New Roman" w:hAnsi="Times New Roman" w:cs="Times New Roman"/>
          <w:sz w:val="22"/>
          <w:szCs w:val="22"/>
          <w:lang w:val="ru-RU"/>
        </w:rPr>
        <w:t>распределениями</w:t>
      </w:r>
      <w:r w:rsidR="00834B2B" w:rsidRPr="00834B2B">
        <w:rPr>
          <w:rFonts w:ascii="Times New Roman" w:eastAsia="Times New Roman" w:hAnsi="Times New Roman" w:cs="Times New Roman"/>
          <w:sz w:val="22"/>
          <w:szCs w:val="22"/>
          <w:lang w:val="ru-RU"/>
        </w:rPr>
        <w:t>[</w:t>
      </w:r>
      <w:proofErr w:type="gramEnd"/>
      <w:r w:rsidR="00834B2B" w:rsidRPr="00834B2B">
        <w:rPr>
          <w:rFonts w:ascii="Times New Roman" w:eastAsia="Times New Roman" w:hAnsi="Times New Roman" w:cs="Times New Roman"/>
          <w:sz w:val="22"/>
          <w:szCs w:val="22"/>
          <w:lang w:val="ru-RU"/>
        </w:rPr>
        <w:t>6][7]</w:t>
      </w:r>
      <w:r>
        <w:rPr>
          <w:rFonts w:ascii="Times New Roman" w:eastAsia="Times New Roman" w:hAnsi="Times New Roman" w:cs="Times New Roman"/>
          <w:sz w:val="22"/>
          <w:szCs w:val="22"/>
          <w:lang w:val="ru-RU"/>
        </w:rPr>
        <w:t xml:space="preserve">. </w:t>
      </w:r>
    </w:p>
    <w:p w14:paraId="1FA2F06A" w14:textId="77777777" w:rsidR="00CE7501" w:rsidRPr="00834B2B" w:rsidRDefault="00CE7501" w:rsidP="00CE7501">
      <w:pPr>
        <w:ind w:firstLine="706"/>
        <w:jc w:val="both"/>
        <w:rPr>
          <w:rFonts w:ascii="Times New Roman" w:eastAsia="Times New Roman" w:hAnsi="Times New Roman" w:cs="Times New Roman"/>
          <w:sz w:val="22"/>
          <w:szCs w:val="22"/>
          <w:lang w:val="ru-RU"/>
        </w:rPr>
      </w:pPr>
    </w:p>
    <w:p w14:paraId="28C395B9" w14:textId="77DFDD4A" w:rsidR="009931A0" w:rsidRDefault="009931A0" w:rsidP="00CE7501">
      <w:pPr>
        <w:ind w:firstLine="706"/>
        <w:jc w:val="both"/>
        <w:rPr>
          <w:rFonts w:ascii="Times New Roman" w:eastAsia="Times New Roman" w:hAnsi="Times New Roman" w:cs="Times New Roman"/>
          <w:sz w:val="22"/>
          <w:szCs w:val="22"/>
          <w:lang w:val="ru-RU"/>
        </w:rPr>
      </w:pPr>
      <w:r>
        <w:rPr>
          <w:rFonts w:ascii="Times New Roman" w:eastAsia="Times New Roman" w:hAnsi="Times New Roman" w:cs="Times New Roman"/>
          <w:sz w:val="22"/>
          <w:szCs w:val="22"/>
          <w:lang w:val="ru-RU"/>
        </w:rPr>
        <w:t xml:space="preserve">Также в статье предложен способ оценки точности предсказаний моделей на основе полученных данных. По наблюдаемым ошибкам наилучшей модели соответствуют меньшие значения коэффициента </w:t>
      </w:r>
      <m:oMath>
        <m:r>
          <w:rPr>
            <w:rFonts w:ascii="Cambria Math" w:eastAsiaTheme="minorEastAsia" w:hAnsi="Cambria Math"/>
            <w:lang w:val="ru-RU"/>
          </w:rPr>
          <m:t>γ</m:t>
        </m:r>
      </m:oMath>
      <w:r>
        <w:rPr>
          <w:rFonts w:ascii="Times New Roman" w:eastAsia="Times New Roman" w:hAnsi="Times New Roman" w:cs="Times New Roman"/>
          <w:lang w:val="ru-RU"/>
        </w:rPr>
        <w:t xml:space="preserve"> </w:t>
      </w:r>
      <w:r w:rsidRPr="009931A0">
        <w:rPr>
          <w:rFonts w:ascii="Times New Roman" w:eastAsia="Times New Roman" w:hAnsi="Times New Roman" w:cs="Times New Roman"/>
          <w:sz w:val="22"/>
          <w:szCs w:val="22"/>
          <w:lang w:val="ru-RU"/>
        </w:rPr>
        <w:t>в ‘</w:t>
      </w:r>
      <w:r w:rsidRPr="009931A0">
        <w:rPr>
          <w:rFonts w:ascii="Times New Roman" w:eastAsia="Times New Roman" w:hAnsi="Times New Roman" w:cs="Times New Roman"/>
          <w:sz w:val="22"/>
          <w:szCs w:val="22"/>
        </w:rPr>
        <w:t>S</w:t>
      </w:r>
      <w:r w:rsidRPr="009931A0">
        <w:rPr>
          <w:rFonts w:ascii="Times New Roman" w:eastAsia="Times New Roman" w:hAnsi="Times New Roman" w:cs="Times New Roman"/>
          <w:sz w:val="22"/>
          <w:szCs w:val="22"/>
          <w:lang w:val="ru-RU"/>
        </w:rPr>
        <w:t xml:space="preserve">0’ </w:t>
      </w:r>
      <w:proofErr w:type="gramStart"/>
      <w:r w:rsidRPr="009931A0">
        <w:rPr>
          <w:rFonts w:ascii="Times New Roman" w:eastAsia="Times New Roman" w:hAnsi="Times New Roman" w:cs="Times New Roman"/>
          <w:sz w:val="22"/>
          <w:szCs w:val="22"/>
          <w:lang w:val="ru-RU"/>
        </w:rPr>
        <w:t>параметризации</w:t>
      </w:r>
      <w:r w:rsidR="00834B2B" w:rsidRPr="00834B2B">
        <w:rPr>
          <w:rFonts w:ascii="Times New Roman" w:eastAsia="Times New Roman" w:hAnsi="Times New Roman" w:cs="Times New Roman"/>
          <w:sz w:val="22"/>
          <w:szCs w:val="22"/>
          <w:lang w:val="ru-RU"/>
        </w:rPr>
        <w:t>[</w:t>
      </w:r>
      <w:proofErr w:type="gramEnd"/>
      <w:r w:rsidR="00834B2B" w:rsidRPr="00834B2B">
        <w:rPr>
          <w:rFonts w:ascii="Times New Roman" w:eastAsia="Times New Roman" w:hAnsi="Times New Roman" w:cs="Times New Roman"/>
          <w:sz w:val="22"/>
          <w:szCs w:val="22"/>
          <w:lang w:val="ru-RU"/>
        </w:rPr>
        <w:t>8</w:t>
      </w:r>
      <w:r w:rsidR="00834B2B" w:rsidRPr="006D5F25">
        <w:rPr>
          <w:rFonts w:ascii="Times New Roman" w:eastAsia="Times New Roman" w:hAnsi="Times New Roman" w:cs="Times New Roman"/>
          <w:sz w:val="22"/>
          <w:szCs w:val="22"/>
          <w:lang w:val="ru-RU"/>
        </w:rPr>
        <w:t>]</w:t>
      </w:r>
      <w:r w:rsidRPr="009931A0">
        <w:rPr>
          <w:rFonts w:ascii="Times New Roman" w:eastAsia="Times New Roman" w:hAnsi="Times New Roman" w:cs="Times New Roman"/>
          <w:sz w:val="22"/>
          <w:szCs w:val="22"/>
          <w:lang w:val="ru-RU"/>
        </w:rPr>
        <w:t>.</w:t>
      </w:r>
    </w:p>
    <w:p w14:paraId="103E8D78" w14:textId="4AC5F0C3" w:rsidR="009931A0" w:rsidRDefault="009931A0" w:rsidP="009931A0">
      <w:pPr>
        <w:jc w:val="both"/>
        <w:rPr>
          <w:rFonts w:ascii="Times New Roman" w:eastAsia="Times New Roman" w:hAnsi="Times New Roman" w:cs="Times New Roman"/>
          <w:sz w:val="22"/>
          <w:szCs w:val="22"/>
          <w:lang w:val="ru-RU"/>
        </w:rPr>
      </w:pPr>
    </w:p>
    <w:p w14:paraId="40B9C64B" w14:textId="31F9145F" w:rsidR="009931A0" w:rsidRDefault="009931A0" w:rsidP="009931A0">
      <w:pPr>
        <w:jc w:val="both"/>
        <w:rPr>
          <w:rFonts w:ascii="Times New Roman" w:eastAsia="Times New Roman" w:hAnsi="Times New Roman" w:cs="Times New Roman"/>
          <w:sz w:val="22"/>
          <w:szCs w:val="22"/>
          <w:lang w:val="ru-RU"/>
        </w:rPr>
      </w:pPr>
    </w:p>
    <w:p w14:paraId="3B8F5448" w14:textId="2CF29FF6" w:rsidR="009931A0" w:rsidRPr="009931A0" w:rsidRDefault="009931A0" w:rsidP="009931A0">
      <w:pPr>
        <w:jc w:val="both"/>
        <w:rPr>
          <w:rFonts w:ascii="Times New Roman" w:eastAsia="Times New Roman" w:hAnsi="Times New Roman" w:cs="Times New Roman"/>
          <w:b/>
          <w:bCs/>
          <w:sz w:val="22"/>
          <w:szCs w:val="22"/>
          <w:lang w:val="ru-RU"/>
        </w:rPr>
      </w:pPr>
      <w:r w:rsidRPr="009931A0">
        <w:rPr>
          <w:rFonts w:ascii="Times New Roman" w:eastAsia="Times New Roman" w:hAnsi="Times New Roman" w:cs="Times New Roman"/>
          <w:b/>
          <w:bCs/>
          <w:sz w:val="22"/>
          <w:szCs w:val="22"/>
          <w:lang w:val="ru-RU"/>
        </w:rPr>
        <w:lastRenderedPageBreak/>
        <w:t>Литература</w:t>
      </w:r>
    </w:p>
    <w:p w14:paraId="684CD3A1" w14:textId="4FF8914B" w:rsidR="009931A0" w:rsidRPr="00CE7501" w:rsidRDefault="009931A0" w:rsidP="009931A0">
      <w:pPr>
        <w:pStyle w:val="14"/>
        <w:numPr>
          <w:ilvl w:val="0"/>
          <w:numId w:val="1"/>
        </w:numPr>
        <w:spacing w:before="120"/>
        <w:rPr>
          <w:sz w:val="20"/>
          <w:szCs w:val="20"/>
          <w:lang w:val="en-US"/>
        </w:rPr>
      </w:pPr>
      <w:r w:rsidRPr="009931A0">
        <w:rPr>
          <w:i/>
          <w:iCs/>
          <w:sz w:val="20"/>
          <w:szCs w:val="20"/>
          <w:lang w:val="en-US"/>
        </w:rPr>
        <w:t>Marcovitz H.</w:t>
      </w:r>
      <w:r>
        <w:rPr>
          <w:i/>
          <w:iCs/>
          <w:sz w:val="20"/>
          <w:szCs w:val="20"/>
          <w:lang w:val="en-US"/>
        </w:rPr>
        <w:t xml:space="preserve">  </w:t>
      </w:r>
      <w:r w:rsidRPr="00CE7501">
        <w:rPr>
          <w:sz w:val="20"/>
          <w:szCs w:val="20"/>
          <w:lang w:val="en-US"/>
        </w:rPr>
        <w:t xml:space="preserve">Portfolio selection: efficient diversification of investments, </w:t>
      </w:r>
      <w:r w:rsidR="00CE7501">
        <w:rPr>
          <w:sz w:val="20"/>
          <w:szCs w:val="20"/>
          <w:lang w:val="en-US"/>
        </w:rPr>
        <w:t>V.</w:t>
      </w:r>
      <w:r w:rsidRPr="00CE7501">
        <w:rPr>
          <w:sz w:val="20"/>
          <w:szCs w:val="20"/>
          <w:lang w:val="en-US"/>
        </w:rPr>
        <w:t>16 Yale university press, 1968</w:t>
      </w:r>
    </w:p>
    <w:p w14:paraId="4A6DC93D" w14:textId="74E5944E" w:rsidR="009931A0" w:rsidRDefault="009931A0" w:rsidP="009931A0">
      <w:pPr>
        <w:pStyle w:val="14"/>
        <w:numPr>
          <w:ilvl w:val="0"/>
          <w:numId w:val="1"/>
        </w:numPr>
        <w:spacing w:before="120"/>
        <w:rPr>
          <w:i/>
          <w:iCs/>
          <w:sz w:val="20"/>
          <w:szCs w:val="20"/>
          <w:lang w:val="en-US"/>
        </w:rPr>
      </w:pPr>
      <w:proofErr w:type="spellStart"/>
      <w:r>
        <w:rPr>
          <w:i/>
          <w:iCs/>
          <w:sz w:val="20"/>
          <w:szCs w:val="20"/>
          <w:lang w:val="en-US"/>
        </w:rPr>
        <w:t>Haff</w:t>
      </w:r>
      <w:proofErr w:type="spellEnd"/>
      <w:r>
        <w:rPr>
          <w:i/>
          <w:iCs/>
          <w:sz w:val="20"/>
          <w:szCs w:val="20"/>
          <w:lang w:val="en-US"/>
        </w:rPr>
        <w:t xml:space="preserve"> L. </w:t>
      </w:r>
      <w:r w:rsidRPr="00CE7501">
        <w:rPr>
          <w:sz w:val="20"/>
          <w:szCs w:val="20"/>
          <w:lang w:val="en-US"/>
        </w:rPr>
        <w:t>Empirical Bayes estimation of the multivariate normal covariance matrix, Annals of Statistics</w:t>
      </w:r>
      <w:r w:rsidR="00CE7501">
        <w:rPr>
          <w:sz w:val="20"/>
          <w:szCs w:val="20"/>
          <w:lang w:val="en-US"/>
        </w:rPr>
        <w:t>, V.</w:t>
      </w:r>
      <w:r w:rsidRPr="00CE7501">
        <w:rPr>
          <w:sz w:val="20"/>
          <w:szCs w:val="20"/>
          <w:lang w:val="en-US"/>
        </w:rPr>
        <w:t>8, pages 586-597, 1980</w:t>
      </w:r>
    </w:p>
    <w:p w14:paraId="584B10CC" w14:textId="68351F4B" w:rsidR="009931A0" w:rsidRPr="00CE7501" w:rsidRDefault="009931A0" w:rsidP="009931A0">
      <w:pPr>
        <w:pStyle w:val="14"/>
        <w:numPr>
          <w:ilvl w:val="0"/>
          <w:numId w:val="1"/>
        </w:numPr>
        <w:spacing w:before="120"/>
        <w:rPr>
          <w:sz w:val="20"/>
          <w:szCs w:val="20"/>
          <w:lang w:val="en-US"/>
        </w:rPr>
      </w:pPr>
      <w:proofErr w:type="spellStart"/>
      <w:r w:rsidRPr="009931A0">
        <w:rPr>
          <w:i/>
          <w:iCs/>
          <w:sz w:val="20"/>
          <w:szCs w:val="20"/>
          <w:lang w:val="en-US"/>
        </w:rPr>
        <w:t>Bouchaud</w:t>
      </w:r>
      <w:proofErr w:type="spellEnd"/>
      <w:r w:rsidRPr="009931A0">
        <w:rPr>
          <w:i/>
          <w:iCs/>
          <w:sz w:val="20"/>
          <w:szCs w:val="20"/>
          <w:lang w:val="en-US"/>
        </w:rPr>
        <w:t xml:space="preserve"> J-P and M Potters,</w:t>
      </w:r>
      <w:r>
        <w:rPr>
          <w:i/>
          <w:iCs/>
          <w:sz w:val="20"/>
          <w:szCs w:val="20"/>
          <w:lang w:val="en-US"/>
        </w:rPr>
        <w:t xml:space="preserve"> </w:t>
      </w:r>
      <w:r w:rsidRPr="00CE7501">
        <w:rPr>
          <w:sz w:val="20"/>
          <w:szCs w:val="20"/>
          <w:lang w:val="en-US"/>
        </w:rPr>
        <w:t>Theory of financial risks and derivative pricing: from statistical physics to risk management, Cambridge university press, 2008</w:t>
      </w:r>
    </w:p>
    <w:p w14:paraId="58FE640D" w14:textId="7CEA6988" w:rsidR="009931A0" w:rsidRDefault="009931A0" w:rsidP="009931A0">
      <w:pPr>
        <w:pStyle w:val="14"/>
        <w:numPr>
          <w:ilvl w:val="0"/>
          <w:numId w:val="1"/>
        </w:numPr>
        <w:spacing w:before="120"/>
        <w:rPr>
          <w:sz w:val="20"/>
          <w:szCs w:val="20"/>
          <w:lang w:val="en-US"/>
        </w:rPr>
      </w:pPr>
      <w:proofErr w:type="spellStart"/>
      <w:r w:rsidRPr="009931A0">
        <w:rPr>
          <w:i/>
          <w:iCs/>
          <w:sz w:val="20"/>
          <w:szCs w:val="20"/>
          <w:lang w:val="en-US"/>
        </w:rPr>
        <w:t>Bouchaud</w:t>
      </w:r>
      <w:proofErr w:type="spellEnd"/>
      <w:r w:rsidRPr="009931A0">
        <w:rPr>
          <w:i/>
          <w:iCs/>
          <w:sz w:val="20"/>
          <w:szCs w:val="20"/>
          <w:lang w:val="en-US"/>
        </w:rPr>
        <w:t xml:space="preserve"> J-P and M Potters,</w:t>
      </w:r>
      <w:r>
        <w:rPr>
          <w:i/>
          <w:iCs/>
          <w:sz w:val="20"/>
          <w:szCs w:val="20"/>
          <w:lang w:val="en-US"/>
        </w:rPr>
        <w:t xml:space="preserve"> </w:t>
      </w:r>
      <w:r w:rsidRPr="00CE7501">
        <w:rPr>
          <w:sz w:val="20"/>
          <w:szCs w:val="20"/>
          <w:lang w:val="en-US"/>
        </w:rPr>
        <w:t>Financial applications of random matrix theory: a short review, The Oxford Handbook of Random Matrix Theory, 2011</w:t>
      </w:r>
    </w:p>
    <w:p w14:paraId="64308C85" w14:textId="77777777" w:rsidR="00834B2B" w:rsidRDefault="00834B2B" w:rsidP="00834B2B">
      <w:pPr>
        <w:pStyle w:val="14"/>
        <w:numPr>
          <w:ilvl w:val="0"/>
          <w:numId w:val="1"/>
        </w:numPr>
        <w:spacing w:before="120"/>
        <w:rPr>
          <w:sz w:val="20"/>
          <w:szCs w:val="20"/>
          <w:lang w:val="en-US"/>
        </w:rPr>
      </w:pPr>
      <w:r>
        <w:rPr>
          <w:i/>
          <w:iCs/>
          <w:sz w:val="20"/>
          <w:szCs w:val="20"/>
          <w:lang w:val="en-US"/>
        </w:rPr>
        <w:t>Conlon T., Ruskin J., Crane M</w:t>
      </w:r>
      <w:r w:rsidRPr="009931A0">
        <w:rPr>
          <w:b/>
          <w:bCs/>
          <w:sz w:val="20"/>
          <w:szCs w:val="20"/>
          <w:lang w:val="en-US"/>
        </w:rPr>
        <w:t xml:space="preserve">., </w:t>
      </w:r>
      <w:r w:rsidRPr="00CE7501">
        <w:rPr>
          <w:sz w:val="20"/>
          <w:szCs w:val="20"/>
          <w:lang w:val="en-US"/>
        </w:rPr>
        <w:t>Cross-Correlation Dynamics in Financial Time-Series, Statistical Mechanics and its Applications, Feb</w:t>
      </w:r>
      <w:r>
        <w:rPr>
          <w:sz w:val="20"/>
          <w:szCs w:val="20"/>
          <w:lang w:val="en-US"/>
        </w:rPr>
        <w:t>.</w:t>
      </w:r>
      <w:r w:rsidRPr="00CE7501">
        <w:rPr>
          <w:sz w:val="20"/>
          <w:szCs w:val="20"/>
          <w:lang w:val="en-US"/>
        </w:rPr>
        <w:t xml:space="preserve"> 2010</w:t>
      </w:r>
    </w:p>
    <w:p w14:paraId="3B956F65" w14:textId="77777777" w:rsidR="00834B2B" w:rsidRPr="00CE7501" w:rsidRDefault="00834B2B" w:rsidP="00834B2B">
      <w:pPr>
        <w:pStyle w:val="14"/>
        <w:numPr>
          <w:ilvl w:val="0"/>
          <w:numId w:val="1"/>
        </w:numPr>
        <w:spacing w:before="120"/>
        <w:rPr>
          <w:sz w:val="20"/>
          <w:szCs w:val="20"/>
          <w:lang w:val="en-US"/>
        </w:rPr>
      </w:pPr>
      <w:proofErr w:type="spellStart"/>
      <w:r>
        <w:rPr>
          <w:i/>
          <w:iCs/>
          <w:sz w:val="20"/>
          <w:szCs w:val="20"/>
          <w:lang w:val="en-US"/>
        </w:rPr>
        <w:t>Fama</w:t>
      </w:r>
      <w:proofErr w:type="spellEnd"/>
      <w:r>
        <w:rPr>
          <w:i/>
          <w:iCs/>
          <w:sz w:val="20"/>
          <w:szCs w:val="20"/>
          <w:lang w:val="en-US"/>
        </w:rPr>
        <w:t xml:space="preserve"> F., </w:t>
      </w:r>
      <w:r w:rsidRPr="00CE7501">
        <w:rPr>
          <w:sz w:val="20"/>
          <w:szCs w:val="20"/>
          <w:lang w:val="en-US"/>
        </w:rPr>
        <w:t xml:space="preserve">The Behavior of Stock-Market Prices, Journal of Business </w:t>
      </w:r>
      <w:r>
        <w:rPr>
          <w:sz w:val="20"/>
          <w:szCs w:val="20"/>
          <w:lang w:val="en-US"/>
        </w:rPr>
        <w:t>V</w:t>
      </w:r>
      <w:r w:rsidRPr="00CE7501">
        <w:rPr>
          <w:sz w:val="20"/>
          <w:szCs w:val="20"/>
          <w:lang w:val="en-US"/>
        </w:rPr>
        <w:t xml:space="preserve">.38, pages 34-105, </w:t>
      </w:r>
      <w:r>
        <w:rPr>
          <w:sz w:val="20"/>
          <w:szCs w:val="20"/>
          <w:lang w:val="en-US"/>
        </w:rPr>
        <w:t>N.</w:t>
      </w:r>
      <w:r w:rsidRPr="00CE7501">
        <w:rPr>
          <w:sz w:val="20"/>
          <w:szCs w:val="20"/>
          <w:lang w:val="en-US"/>
        </w:rPr>
        <w:t>1</w:t>
      </w:r>
      <w:r>
        <w:rPr>
          <w:sz w:val="20"/>
          <w:szCs w:val="20"/>
          <w:lang w:val="en-US"/>
        </w:rPr>
        <w:t xml:space="preserve">, </w:t>
      </w:r>
      <w:r w:rsidRPr="00CE7501">
        <w:rPr>
          <w:sz w:val="20"/>
          <w:szCs w:val="20"/>
          <w:lang w:val="en-US"/>
        </w:rPr>
        <w:t>Jan. 1965</w:t>
      </w:r>
    </w:p>
    <w:p w14:paraId="6EDF3B86" w14:textId="77777777" w:rsidR="00834B2B" w:rsidRPr="00CE7501" w:rsidRDefault="00834B2B" w:rsidP="00834B2B">
      <w:pPr>
        <w:pStyle w:val="14"/>
        <w:numPr>
          <w:ilvl w:val="0"/>
          <w:numId w:val="1"/>
        </w:numPr>
        <w:spacing w:before="120"/>
        <w:rPr>
          <w:sz w:val="20"/>
          <w:szCs w:val="20"/>
          <w:lang w:val="en-US"/>
        </w:rPr>
      </w:pPr>
      <w:r>
        <w:rPr>
          <w:i/>
          <w:iCs/>
          <w:sz w:val="20"/>
          <w:szCs w:val="20"/>
          <w:lang w:val="en-US"/>
        </w:rPr>
        <w:t xml:space="preserve">Mandelbrot B., </w:t>
      </w:r>
      <w:r w:rsidRPr="00CE7501">
        <w:rPr>
          <w:sz w:val="20"/>
          <w:szCs w:val="20"/>
          <w:lang w:val="en-US"/>
        </w:rPr>
        <w:t xml:space="preserve">The Variation of Certain Speculative Prices, Journal of Business </w:t>
      </w:r>
      <w:r>
        <w:rPr>
          <w:sz w:val="20"/>
          <w:szCs w:val="20"/>
          <w:lang w:val="en-US"/>
        </w:rPr>
        <w:t>V.</w:t>
      </w:r>
      <w:r w:rsidRPr="00CE7501">
        <w:rPr>
          <w:sz w:val="20"/>
          <w:szCs w:val="20"/>
          <w:lang w:val="en-US"/>
        </w:rPr>
        <w:t xml:space="preserve">36, pages 394-419, </w:t>
      </w:r>
      <w:r>
        <w:rPr>
          <w:sz w:val="20"/>
          <w:szCs w:val="20"/>
          <w:lang w:val="en-US"/>
        </w:rPr>
        <w:t>N.</w:t>
      </w:r>
      <w:r w:rsidRPr="00CE7501">
        <w:rPr>
          <w:sz w:val="20"/>
          <w:szCs w:val="20"/>
          <w:lang w:val="en-US"/>
        </w:rPr>
        <w:t>4</w:t>
      </w:r>
      <w:r>
        <w:rPr>
          <w:sz w:val="20"/>
          <w:szCs w:val="20"/>
          <w:lang w:val="en-US"/>
        </w:rPr>
        <w:t xml:space="preserve">, </w:t>
      </w:r>
      <w:r w:rsidRPr="00CE7501">
        <w:rPr>
          <w:sz w:val="20"/>
          <w:szCs w:val="20"/>
          <w:lang w:val="en-US"/>
        </w:rPr>
        <w:t>Oct. 1963</w:t>
      </w:r>
    </w:p>
    <w:p w14:paraId="04FB689D" w14:textId="77777777" w:rsidR="00834B2B" w:rsidRPr="00CE7501" w:rsidRDefault="00834B2B" w:rsidP="00834B2B">
      <w:pPr>
        <w:pStyle w:val="14"/>
        <w:numPr>
          <w:ilvl w:val="0"/>
          <w:numId w:val="1"/>
        </w:numPr>
        <w:spacing w:before="120"/>
        <w:rPr>
          <w:sz w:val="20"/>
          <w:szCs w:val="20"/>
          <w:lang w:val="en-US"/>
        </w:rPr>
      </w:pPr>
      <w:proofErr w:type="spellStart"/>
      <w:r w:rsidRPr="00CE7501">
        <w:rPr>
          <w:rFonts w:eastAsia="Times New Roman"/>
          <w:i/>
          <w:iCs/>
          <w:sz w:val="20"/>
          <w:szCs w:val="20"/>
          <w:lang w:val="en-US"/>
        </w:rPr>
        <w:t>Diethelm</w:t>
      </w:r>
      <w:proofErr w:type="spellEnd"/>
      <w:r w:rsidRPr="00CE7501">
        <w:rPr>
          <w:rFonts w:eastAsia="Times New Roman"/>
          <w:i/>
          <w:iCs/>
          <w:sz w:val="20"/>
          <w:szCs w:val="20"/>
          <w:lang w:val="en-US"/>
        </w:rPr>
        <w:t xml:space="preserve"> </w:t>
      </w:r>
      <w:proofErr w:type="spellStart"/>
      <w:r w:rsidRPr="00CE7501">
        <w:rPr>
          <w:rFonts w:eastAsia="Times New Roman"/>
          <w:i/>
          <w:iCs/>
          <w:sz w:val="20"/>
          <w:szCs w:val="20"/>
          <w:lang w:val="en-US"/>
        </w:rPr>
        <w:t>Wuertz</w:t>
      </w:r>
      <w:proofErr w:type="spellEnd"/>
      <w:r w:rsidRPr="00CE7501">
        <w:rPr>
          <w:rFonts w:eastAsia="Times New Roman"/>
          <w:i/>
          <w:iCs/>
          <w:sz w:val="20"/>
          <w:szCs w:val="20"/>
          <w:lang w:val="en-US"/>
        </w:rPr>
        <w:t xml:space="preserve">, Martin </w:t>
      </w:r>
      <w:proofErr w:type="spellStart"/>
      <w:r w:rsidRPr="00CE7501">
        <w:rPr>
          <w:rFonts w:eastAsia="Times New Roman"/>
          <w:i/>
          <w:iCs/>
          <w:sz w:val="20"/>
          <w:szCs w:val="20"/>
          <w:lang w:val="en-US"/>
        </w:rPr>
        <w:t>Maechler</w:t>
      </w:r>
      <w:proofErr w:type="spellEnd"/>
      <w:r w:rsidRPr="00CE7501">
        <w:rPr>
          <w:rFonts w:eastAsia="Times New Roman"/>
          <w:i/>
          <w:iCs/>
          <w:sz w:val="20"/>
          <w:szCs w:val="20"/>
          <w:lang w:val="en-US"/>
        </w:rPr>
        <w:t xml:space="preserve">, </w:t>
      </w:r>
      <w:r w:rsidRPr="00CE7501">
        <w:rPr>
          <w:rFonts w:eastAsia="Times New Roman"/>
          <w:sz w:val="20"/>
          <w:szCs w:val="20"/>
          <w:lang w:val="en-US"/>
        </w:rPr>
        <w:t xml:space="preserve">Stable Distribution Functions, </w:t>
      </w:r>
      <w:proofErr w:type="spellStart"/>
      <w:r w:rsidRPr="00CE7501">
        <w:rPr>
          <w:rFonts w:eastAsia="Times New Roman"/>
          <w:sz w:val="20"/>
          <w:szCs w:val="20"/>
          <w:lang w:val="en-US"/>
        </w:rPr>
        <w:t>Rmetrics</w:t>
      </w:r>
      <w:proofErr w:type="spellEnd"/>
      <w:r w:rsidRPr="00CE7501">
        <w:rPr>
          <w:rFonts w:eastAsia="Times New Roman"/>
          <w:sz w:val="20"/>
          <w:szCs w:val="20"/>
          <w:lang w:val="en-US"/>
        </w:rPr>
        <w:t xml:space="preserve"> Association, </w:t>
      </w:r>
      <w:r>
        <w:rPr>
          <w:rFonts w:eastAsia="Times New Roman"/>
          <w:sz w:val="20"/>
          <w:szCs w:val="20"/>
          <w:lang w:val="en-US"/>
        </w:rPr>
        <w:t xml:space="preserve">Sep. </w:t>
      </w:r>
      <w:r w:rsidRPr="00CE7501">
        <w:rPr>
          <w:rFonts w:eastAsia="Times New Roman"/>
          <w:sz w:val="20"/>
          <w:szCs w:val="20"/>
          <w:lang w:val="en-US"/>
        </w:rPr>
        <w:t>2016</w:t>
      </w:r>
    </w:p>
    <w:p w14:paraId="47DF7FA4" w14:textId="77777777" w:rsidR="00834B2B" w:rsidRPr="00CE7501" w:rsidRDefault="00834B2B" w:rsidP="00834B2B">
      <w:pPr>
        <w:pStyle w:val="14"/>
        <w:spacing w:before="120"/>
        <w:ind w:left="720" w:firstLine="0"/>
        <w:rPr>
          <w:sz w:val="20"/>
          <w:szCs w:val="20"/>
          <w:lang w:val="en-US"/>
        </w:rPr>
      </w:pPr>
    </w:p>
    <w:p w14:paraId="36C5696A" w14:textId="77777777" w:rsidR="009931A0" w:rsidRPr="009931A0" w:rsidRDefault="009931A0" w:rsidP="009931A0">
      <w:pPr>
        <w:pStyle w:val="14"/>
        <w:spacing w:before="120"/>
        <w:ind w:firstLine="706"/>
        <w:rPr>
          <w:sz w:val="22"/>
          <w:szCs w:val="22"/>
          <w:lang w:val="en-US"/>
        </w:rPr>
      </w:pPr>
    </w:p>
    <w:sectPr w:rsidR="009931A0" w:rsidRPr="009931A0" w:rsidSect="00871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DCFE" w14:textId="77777777" w:rsidR="00825922" w:rsidRDefault="00825922" w:rsidP="009931A0">
      <w:r>
        <w:separator/>
      </w:r>
    </w:p>
  </w:endnote>
  <w:endnote w:type="continuationSeparator" w:id="0">
    <w:p w14:paraId="5E4FDBCA" w14:textId="77777777" w:rsidR="00825922" w:rsidRDefault="00825922" w:rsidP="0099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FCC3C" w14:textId="77777777" w:rsidR="00825922" w:rsidRDefault="00825922" w:rsidP="009931A0">
      <w:r>
        <w:separator/>
      </w:r>
    </w:p>
  </w:footnote>
  <w:footnote w:type="continuationSeparator" w:id="0">
    <w:p w14:paraId="02399452" w14:textId="77777777" w:rsidR="00825922" w:rsidRDefault="00825922" w:rsidP="00993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A7F4F"/>
    <w:multiLevelType w:val="hybridMultilevel"/>
    <w:tmpl w:val="EB72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A0"/>
    <w:rsid w:val="006D5F25"/>
    <w:rsid w:val="00825922"/>
    <w:rsid w:val="00834B2B"/>
    <w:rsid w:val="00871AF8"/>
    <w:rsid w:val="009931A0"/>
    <w:rsid w:val="00B92ABD"/>
    <w:rsid w:val="00CE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2336"/>
  <w15:chartTrackingRefBased/>
  <w15:docId w15:val="{57B15190-E639-B841-B27F-266C9704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
    <w:name w:val="Стиль14"/>
    <w:basedOn w:val="Normal"/>
    <w:qFormat/>
    <w:rsid w:val="009931A0"/>
    <w:pPr>
      <w:keepNext/>
      <w:spacing w:before="600"/>
      <w:ind w:firstLine="709"/>
      <w:jc w:val="both"/>
    </w:pPr>
    <w:rPr>
      <w:rFonts w:ascii="Times New Roman" w:eastAsia="Calibri" w:hAnsi="Times New Roman" w:cs="Times New Roman"/>
      <w:lang w:val="ru-RU" w:eastAsia="ru-RU"/>
    </w:rPr>
  </w:style>
  <w:style w:type="character" w:styleId="Hyperlink">
    <w:name w:val="Hyperlink"/>
    <w:basedOn w:val="DefaultParagraphFont"/>
    <w:uiPriority w:val="99"/>
    <w:unhideWhenUsed/>
    <w:rsid w:val="009931A0"/>
    <w:rPr>
      <w:color w:val="0000FF"/>
      <w:u w:val="single"/>
    </w:rPr>
  </w:style>
  <w:style w:type="paragraph" w:styleId="ListParagraph">
    <w:name w:val="List Paragraph"/>
    <w:basedOn w:val="Normal"/>
    <w:uiPriority w:val="34"/>
    <w:qFormat/>
    <w:rsid w:val="009931A0"/>
    <w:pPr>
      <w:ind w:left="720"/>
      <w:contextualSpacing/>
    </w:pPr>
  </w:style>
  <w:style w:type="paragraph" w:styleId="Header">
    <w:name w:val="header"/>
    <w:basedOn w:val="Normal"/>
    <w:link w:val="HeaderChar"/>
    <w:uiPriority w:val="99"/>
    <w:unhideWhenUsed/>
    <w:rsid w:val="009931A0"/>
    <w:pPr>
      <w:tabs>
        <w:tab w:val="center" w:pos="4680"/>
        <w:tab w:val="right" w:pos="9360"/>
      </w:tabs>
    </w:pPr>
  </w:style>
  <w:style w:type="character" w:customStyle="1" w:styleId="HeaderChar">
    <w:name w:val="Header Char"/>
    <w:basedOn w:val="DefaultParagraphFont"/>
    <w:link w:val="Header"/>
    <w:uiPriority w:val="99"/>
    <w:rsid w:val="009931A0"/>
  </w:style>
  <w:style w:type="paragraph" w:styleId="Footer">
    <w:name w:val="footer"/>
    <w:basedOn w:val="Normal"/>
    <w:link w:val="FooterChar"/>
    <w:uiPriority w:val="99"/>
    <w:unhideWhenUsed/>
    <w:rsid w:val="009931A0"/>
    <w:pPr>
      <w:tabs>
        <w:tab w:val="center" w:pos="4680"/>
        <w:tab w:val="right" w:pos="9360"/>
      </w:tabs>
    </w:pPr>
  </w:style>
  <w:style w:type="character" w:customStyle="1" w:styleId="FooterChar">
    <w:name w:val="Footer Char"/>
    <w:basedOn w:val="DefaultParagraphFont"/>
    <w:link w:val="Footer"/>
    <w:uiPriority w:val="99"/>
    <w:rsid w:val="009931A0"/>
  </w:style>
  <w:style w:type="character" w:styleId="UnresolvedMention">
    <w:name w:val="Unresolved Mention"/>
    <w:basedOn w:val="DefaultParagraphFont"/>
    <w:uiPriority w:val="99"/>
    <w:semiHidden/>
    <w:unhideWhenUsed/>
    <w:rsid w:val="00CE7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38317">
      <w:bodyDiv w:val="1"/>
      <w:marLeft w:val="0"/>
      <w:marRight w:val="0"/>
      <w:marTop w:val="0"/>
      <w:marBottom w:val="0"/>
      <w:divBdr>
        <w:top w:val="none" w:sz="0" w:space="0" w:color="auto"/>
        <w:left w:val="none" w:sz="0" w:space="0" w:color="auto"/>
        <w:bottom w:val="none" w:sz="0" w:space="0" w:color="auto"/>
        <w:right w:val="none" w:sz="0" w:space="0" w:color="auto"/>
      </w:divBdr>
    </w:div>
    <w:div w:id="1237978776">
      <w:bodyDiv w:val="1"/>
      <w:marLeft w:val="0"/>
      <w:marRight w:val="0"/>
      <w:marTop w:val="0"/>
      <w:marBottom w:val="0"/>
      <w:divBdr>
        <w:top w:val="none" w:sz="0" w:space="0" w:color="auto"/>
        <w:left w:val="none" w:sz="0" w:space="0" w:color="auto"/>
        <w:bottom w:val="none" w:sz="0" w:space="0" w:color="auto"/>
        <w:right w:val="none" w:sz="0" w:space="0" w:color="auto"/>
      </w:divBdr>
    </w:div>
    <w:div w:id="1289045486">
      <w:bodyDiv w:val="1"/>
      <w:marLeft w:val="0"/>
      <w:marRight w:val="0"/>
      <w:marTop w:val="0"/>
      <w:marBottom w:val="0"/>
      <w:divBdr>
        <w:top w:val="none" w:sz="0" w:space="0" w:color="auto"/>
        <w:left w:val="none" w:sz="0" w:space="0" w:color="auto"/>
        <w:bottom w:val="none" w:sz="0" w:space="0" w:color="auto"/>
        <w:right w:val="none" w:sz="0" w:space="0" w:color="auto"/>
      </w:divBdr>
    </w:div>
    <w:div w:id="1321303635">
      <w:bodyDiv w:val="1"/>
      <w:marLeft w:val="0"/>
      <w:marRight w:val="0"/>
      <w:marTop w:val="0"/>
      <w:marBottom w:val="0"/>
      <w:divBdr>
        <w:top w:val="none" w:sz="0" w:space="0" w:color="auto"/>
        <w:left w:val="none" w:sz="0" w:space="0" w:color="auto"/>
        <w:bottom w:val="none" w:sz="0" w:space="0" w:color="auto"/>
        <w:right w:val="none" w:sz="0" w:space="0" w:color="auto"/>
      </w:divBdr>
    </w:div>
    <w:div w:id="1524786615">
      <w:bodyDiv w:val="1"/>
      <w:marLeft w:val="0"/>
      <w:marRight w:val="0"/>
      <w:marTop w:val="0"/>
      <w:marBottom w:val="0"/>
      <w:divBdr>
        <w:top w:val="none" w:sz="0" w:space="0" w:color="auto"/>
        <w:left w:val="none" w:sz="0" w:space="0" w:color="auto"/>
        <w:bottom w:val="none" w:sz="0" w:space="0" w:color="auto"/>
        <w:right w:val="none" w:sz="0" w:space="0" w:color="auto"/>
      </w:divBdr>
    </w:div>
    <w:div w:id="2077780207">
      <w:bodyDiv w:val="1"/>
      <w:marLeft w:val="0"/>
      <w:marRight w:val="0"/>
      <w:marTop w:val="0"/>
      <w:marBottom w:val="0"/>
      <w:divBdr>
        <w:top w:val="none" w:sz="0" w:space="0" w:color="auto"/>
        <w:left w:val="none" w:sz="0" w:space="0" w:color="auto"/>
        <w:bottom w:val="none" w:sz="0" w:space="0" w:color="auto"/>
        <w:right w:val="none" w:sz="0" w:space="0" w:color="auto"/>
      </w:divBdr>
    </w:div>
    <w:div w:id="209886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Panin</dc:creator>
  <cp:keywords/>
  <dc:description/>
  <cp:lastModifiedBy>Igor Panin</cp:lastModifiedBy>
  <cp:revision>4</cp:revision>
  <dcterms:created xsi:type="dcterms:W3CDTF">2019-10-20T17:17:00Z</dcterms:created>
  <dcterms:modified xsi:type="dcterms:W3CDTF">2019-10-20T20:05:00Z</dcterms:modified>
</cp:coreProperties>
</file>