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248F59">
      <w:pPr>
        <w:jc w:val="center"/>
        <w:rPr>
          <w:b/>
          <w:sz w:val="36"/>
          <w:szCs w:val="36"/>
        </w:rPr>
      </w:pPr>
      <w:r>
        <w:rPr>
          <w:b/>
          <w:sz w:val="36"/>
          <w:szCs w:val="36"/>
        </w:rPr>
        <w:t xml:space="preserve">Glaucoma detection using Machine Learning – </w:t>
      </w:r>
      <w:r>
        <w:rPr>
          <w:rFonts w:hint="default"/>
          <w:b/>
          <w:sz w:val="36"/>
          <w:szCs w:val="36"/>
          <w:lang w:val="en-US"/>
        </w:rPr>
        <w:t>VGG16</w:t>
      </w:r>
      <w:r>
        <w:rPr>
          <w:b/>
          <w:sz w:val="36"/>
          <w:szCs w:val="36"/>
        </w:rPr>
        <w:t xml:space="preserve"> Model</w:t>
      </w:r>
    </w:p>
    <w:p w14:paraId="778015FD">
      <w:pPr>
        <w:jc w:val="both"/>
        <w:rPr>
          <w:b/>
          <w:sz w:val="36"/>
          <w:szCs w:val="36"/>
        </w:rPr>
      </w:pPr>
    </w:p>
    <w:p w14:paraId="40118EEE">
      <w:pPr>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36"/>
          <w:szCs w:val="36"/>
        </w:rPr>
        <w:t>Abstract:</w:t>
      </w:r>
      <w:r>
        <w:rPr>
          <w:rFonts w:hint="default" w:ascii="Times New Roman" w:hAnsi="Times New Roman" w:cs="Times New Roman"/>
          <w:b w:val="0"/>
          <w:bCs w:val="0"/>
          <w:sz w:val="24"/>
          <w:szCs w:val="24"/>
          <w:lang w:val="en-US"/>
        </w:rPr>
        <w:t xml:space="preserve"> Glaucoma is a very common eye problem. If people can know about it at earlier stage then it would be helpful for them to treat it early to recover early. Otherwise in severe cases eye can be fully blind by this disease. Machine Learning strategies uses to design and development of  algorithms and models to detect and predict the future results or analyse through the data in iterative process. In Machine Learning, CNN is used for image data, this is effective on varies medical data such as fundus image, MRI, CT scans, X-rays, </w:t>
      </w:r>
      <w:r>
        <w:rPr>
          <w:rStyle w:val="9"/>
          <w:rFonts w:hint="default" w:ascii="Times New Roman" w:hAnsi="Times New Roman" w:eastAsia="SimSun" w:cs="Times New Roman"/>
          <w:b w:val="0"/>
          <w:bCs w:val="0"/>
          <w:sz w:val="24"/>
          <w:szCs w:val="24"/>
        </w:rPr>
        <w:t>Histopathology slides</w:t>
      </w:r>
      <w:r>
        <w:rPr>
          <w:rStyle w:val="9"/>
          <w:rFonts w:hint="default" w:ascii="Times New Roman" w:hAnsi="Times New Roman" w:eastAsia="SimSun" w:cs="Times New Roman"/>
          <w:b w:val="0"/>
          <w:bCs w:val="0"/>
          <w:sz w:val="24"/>
          <w:szCs w:val="24"/>
          <w:lang w:val="en-US"/>
        </w:rPr>
        <w:t xml:space="preserve"> etc. We have study about 8134 images as training data, 400 for validation, 1000 images for testing. By applying CNN model on large amount of data , we have got 0.8890 as test accuracy on our designed model. Machine learning model detects the progressing eyes earlier than other techniques.In this study, </w:t>
      </w:r>
      <w:r>
        <w:rPr>
          <w:rFonts w:ascii="Times New Roman" w:hAnsi="Times New Roman" w:cs="Times New Roman"/>
          <w:sz w:val="24"/>
          <w:szCs w:val="24"/>
        </w:rPr>
        <w:t>we have got test loss 0.9833,</w:t>
      </w:r>
      <w:r>
        <w:rPr>
          <w:rFonts w:ascii="Times New Roman" w:hAnsi="Times New Roman" w:eastAsia="Times New Roman" w:cs="Times New Roman"/>
          <w:color w:val="3C4043"/>
          <w:sz w:val="24"/>
          <w:szCs w:val="24"/>
        </w:rPr>
        <w:t xml:space="preserve"> </w:t>
      </w:r>
      <w:r>
        <w:rPr>
          <w:rFonts w:ascii="Times New Roman" w:hAnsi="Times New Roman" w:eastAsia="Times New Roman" w:cs="Times New Roman"/>
          <w:color w:val="000000" w:themeColor="text1"/>
          <w:sz w:val="24"/>
          <w:szCs w:val="24"/>
          <w14:textFill>
            <w14:solidFill>
              <w14:schemeClr w14:val="tx1"/>
            </w14:solidFill>
          </w14:textFill>
        </w:rPr>
        <w:t>test accuracy 0.8095, test precision 0.8570, test recall 0.7640, test AUC 0.8960, test F1 Score 13.4369</w:t>
      </w:r>
      <w:r>
        <w:rPr>
          <w:rFonts w:hint="default" w:ascii="Times New Roman" w:hAnsi="Times New Roman" w:eastAsia="Times New Roman" w:cs="Times New Roman"/>
          <w:color w:val="000000" w:themeColor="text1"/>
          <w:sz w:val="24"/>
          <w:szCs w:val="24"/>
          <w:lang w:val="en-US"/>
          <w14:textFill>
            <w14:solidFill>
              <w14:schemeClr w14:val="tx1"/>
            </w14:solidFill>
          </w14:textFill>
        </w:rPr>
        <w:t>,</w:t>
      </w:r>
      <w:r>
        <w:rPr>
          <w:rStyle w:val="9"/>
          <w:rFonts w:hint="default" w:ascii="Times New Roman" w:hAnsi="Times New Roman" w:eastAsia="SimSun" w:cs="Times New Roman"/>
          <w:b w:val="0"/>
          <w:bCs w:val="0"/>
          <w:sz w:val="24"/>
          <w:szCs w:val="24"/>
          <w:lang w:val="en-US"/>
        </w:rPr>
        <w:t xml:space="preserve">  validation loss 0.9346, validation accuracy 0.8375, validation precision 0.8566, validation recall 0.8100, validation AUC 0.9205, validation F1 Score 13.8001. We have also get Receiver Operating Characteristic(ROC) curve, confusion matrix  to evaluating result.</w:t>
      </w:r>
    </w:p>
    <w:p w14:paraId="21EB821C">
      <w:pPr>
        <w:jc w:val="both"/>
        <w:rPr>
          <w:b/>
          <w:bCs/>
          <w:sz w:val="28"/>
          <w:szCs w:val="28"/>
        </w:rPr>
      </w:pPr>
    </w:p>
    <w:p w14:paraId="1DD07F6D">
      <w:pPr>
        <w:jc w:val="both"/>
        <w:rPr>
          <w:b/>
          <w:bCs/>
          <w:sz w:val="28"/>
          <w:szCs w:val="28"/>
        </w:rPr>
        <w:sectPr>
          <w:pgSz w:w="12240" w:h="15840"/>
          <w:pgMar w:top="1440" w:right="1440" w:bottom="1440" w:left="1440" w:header="720" w:footer="720" w:gutter="0"/>
          <w:cols w:space="720" w:num="1"/>
          <w:docGrid w:linePitch="360" w:charSpace="0"/>
        </w:sectPr>
      </w:pPr>
    </w:p>
    <w:p w14:paraId="0ED883E7">
      <w:pPr>
        <w:jc w:val="both"/>
        <w:rPr>
          <w:b/>
          <w:bCs/>
          <w:sz w:val="28"/>
          <w:szCs w:val="28"/>
        </w:rPr>
      </w:pPr>
    </w:p>
    <w:p w14:paraId="7080C9FF">
      <w:pPr>
        <w:jc w:val="both"/>
        <w:rPr>
          <w:rFonts w:hint="default" w:ascii="Times New Roman" w:hAnsi="Times New Roman" w:cs="Times New Roman"/>
          <w:b/>
          <w:bCs/>
          <w:sz w:val="36"/>
          <w:szCs w:val="36"/>
          <w:lang w:val="en-US"/>
        </w:rPr>
      </w:pPr>
      <w:r>
        <w:rPr>
          <w:rFonts w:hint="default" w:ascii="Times New Roman" w:hAnsi="Times New Roman" w:cs="Times New Roman"/>
          <w:b/>
          <w:bCs/>
          <w:sz w:val="36"/>
          <w:szCs w:val="36"/>
        </w:rPr>
        <w:t>Introduction</w:t>
      </w:r>
      <w:r>
        <w:rPr>
          <w:rFonts w:hint="default" w:ascii="Times New Roman" w:hAnsi="Times New Roman" w:cs="Times New Roman"/>
          <w:b/>
          <w:bCs/>
          <w:sz w:val="36"/>
          <w:szCs w:val="36"/>
          <w:lang w:val="en-US"/>
        </w:rPr>
        <w:t>:</w:t>
      </w:r>
    </w:p>
    <w:p w14:paraId="5F000C85">
      <w:pPr>
        <w:jc w:val="both"/>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rPr>
        <w:t xml:space="preserve">Glaucoma is a disease which can be caused of blindness of people. It can permanently take the lights from people forever. So it is important to be cured at the early stage otherwise it could be the cause of people blindness. It is a common eye disease now a days. People at any age can be affected by it. But patients who are 60 plus aged are in the most risked stage by that disease. </w:t>
      </w:r>
    </w:p>
    <w:p w14:paraId="6FC72B30">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Glaucoma is a chronic optic nerve disorder </w:t>
      </w:r>
      <w:r>
        <w:rPr>
          <w:rFonts w:hint="default" w:ascii="Times New Roman" w:hAnsi="Times New Roman" w:eastAsia="SimSun" w:cs="Times New Roman"/>
          <w:sz w:val="24"/>
          <w:szCs w:val="24"/>
          <w:lang w:val="en-US"/>
        </w:rPr>
        <w:t xml:space="preserve">characterized by </w:t>
      </w:r>
      <w:r>
        <w:rPr>
          <w:rFonts w:hint="default" w:ascii="Times New Roman" w:hAnsi="Times New Roman" w:eastAsia="SimSun" w:cs="Times New Roman"/>
          <w:sz w:val="24"/>
          <w:szCs w:val="24"/>
        </w:rPr>
        <w:t xml:space="preserve"> the progressive degeneration of retinal ganglion cells and their axons, which </w:t>
      </w:r>
      <w:r>
        <w:rPr>
          <w:rFonts w:hint="default" w:ascii="Times New Roman" w:hAnsi="Times New Roman" w:eastAsia="SimSun" w:cs="Times New Roman"/>
          <w:sz w:val="24"/>
          <w:szCs w:val="24"/>
          <w:lang w:val="en-US"/>
        </w:rPr>
        <w:t>produces measurable visual field defects</w:t>
      </w:r>
      <w:r>
        <w:rPr>
          <w:rFonts w:hint="default" w:ascii="Times New Roman" w:hAnsi="Times New Roman" w:eastAsia="SimSun" w:cs="Times New Roman"/>
          <w:sz w:val="24"/>
          <w:szCs w:val="24"/>
        </w:rPr>
        <w:t xml:space="preserve"> [1]</w:t>
      </w:r>
      <w:r>
        <w:rPr>
          <w:rFonts w:hint="default" w:ascii="Times New Roman" w:hAnsi="Times New Roman" w:eastAsia="SimSun" w:cs="Times New Roman"/>
          <w:sz w:val="24"/>
          <w:szCs w:val="24"/>
          <w:lang w:val="en-US"/>
        </w:rPr>
        <w:t xml:space="preserve"> . A primary risk factor for glaucoma is </w:t>
      </w:r>
      <w:r>
        <w:rPr>
          <w:rFonts w:hint="default" w:ascii="Times New Roman" w:hAnsi="Times New Roman" w:cs="Times New Roman"/>
          <w:sz w:val="24"/>
          <w:szCs w:val="24"/>
        </w:rPr>
        <w:t xml:space="preserve"> intraocular pressure (IOP), it can </w:t>
      </w:r>
      <w:r>
        <w:rPr>
          <w:rFonts w:hint="default" w:ascii="Times New Roman" w:hAnsi="Times New Roman" w:cs="Times New Roman"/>
          <w:sz w:val="24"/>
          <w:szCs w:val="24"/>
          <w:lang w:val="en-US"/>
        </w:rPr>
        <w:t>assert</w:t>
      </w:r>
      <w:r>
        <w:rPr>
          <w:rFonts w:hint="default" w:ascii="Times New Roman" w:hAnsi="Times New Roman" w:cs="Times New Roman"/>
          <w:sz w:val="24"/>
          <w:szCs w:val="24"/>
        </w:rPr>
        <w:t xml:space="preserve"> mechanical strain on the lamina cribrosa, ultimately disrupting axoplasmic transport [2]. However, axonal damage in glaucoma</w:t>
      </w:r>
      <w:r>
        <w:rPr>
          <w:rFonts w:hint="default" w:ascii="Times New Roman" w:hAnsi="Times New Roman" w:cs="Times New Roman"/>
          <w:sz w:val="24"/>
          <w:szCs w:val="24"/>
          <w:lang w:val="en-US"/>
        </w:rPr>
        <w:t xml:space="preserve"> may still be present among</w:t>
      </w:r>
      <w:r>
        <w:rPr>
          <w:rFonts w:hint="default" w:ascii="Times New Roman" w:hAnsi="Times New Roman" w:cs="Times New Roman"/>
          <w:sz w:val="24"/>
          <w:szCs w:val="24"/>
        </w:rPr>
        <w:t xml:space="preserve"> individuals with normal IOP levels, and individuals with identical IOP readings may </w:t>
      </w:r>
      <w:r>
        <w:rPr>
          <w:rFonts w:hint="default" w:ascii="Times New Roman" w:hAnsi="Times New Roman" w:cs="Times New Roman"/>
          <w:sz w:val="24"/>
          <w:szCs w:val="24"/>
          <w:lang w:val="en-US"/>
        </w:rPr>
        <w:t>present with diverse predispositions to</w:t>
      </w:r>
      <w:r>
        <w:rPr>
          <w:rFonts w:hint="default" w:ascii="Times New Roman" w:hAnsi="Times New Roman" w:cs="Times New Roman"/>
          <w:sz w:val="24"/>
          <w:szCs w:val="24"/>
        </w:rPr>
        <w:t xml:space="preserve"> developing the disease. This </w:t>
      </w:r>
      <w:r>
        <w:rPr>
          <w:rFonts w:hint="default" w:ascii="Times New Roman" w:hAnsi="Times New Roman" w:cs="Times New Roman"/>
          <w:sz w:val="24"/>
          <w:szCs w:val="24"/>
          <w:lang w:val="en-US"/>
        </w:rPr>
        <w:t>emphasizes</w:t>
      </w:r>
      <w:r>
        <w:rPr>
          <w:rFonts w:hint="default" w:ascii="Times New Roman" w:hAnsi="Times New Roman" w:cs="Times New Roman"/>
          <w:sz w:val="24"/>
          <w:szCs w:val="24"/>
        </w:rPr>
        <w:t xml:space="preserve"> the multifaceted and neurodegenerative nature of glaucoma. </w:t>
      </w:r>
      <w:r>
        <w:rPr>
          <w:rFonts w:hint="default" w:ascii="Times New Roman" w:hAnsi="Times New Roman" w:cs="Times New Roman"/>
          <w:sz w:val="24"/>
          <w:szCs w:val="24"/>
          <w:lang w:val="en-US"/>
        </w:rPr>
        <w:t>Multiple potential sources of</w:t>
      </w:r>
      <w:r>
        <w:rPr>
          <w:rFonts w:hint="default" w:ascii="Times New Roman" w:hAnsi="Times New Roman" w:cs="Times New Roman"/>
          <w:sz w:val="24"/>
          <w:szCs w:val="24"/>
        </w:rPr>
        <w:t xml:space="preserve"> its development include aging, inflammatory processes [3], and immune mechanisms—such as the </w:t>
      </w:r>
      <w:r>
        <w:rPr>
          <w:rFonts w:hint="default" w:ascii="Times New Roman" w:hAnsi="Times New Roman" w:cs="Times New Roman"/>
          <w:sz w:val="24"/>
          <w:szCs w:val="24"/>
          <w:lang w:val="en-US"/>
        </w:rPr>
        <w:t>function</w:t>
      </w:r>
      <w:r>
        <w:rPr>
          <w:rFonts w:hint="default" w:ascii="Times New Roman" w:hAnsi="Times New Roman" w:cs="Times New Roman"/>
          <w:sz w:val="24"/>
          <w:szCs w:val="24"/>
        </w:rPr>
        <w:t xml:space="preserve"> of heat shock proteins and localized immune responses [4–8].</w:t>
      </w:r>
    </w:p>
    <w:p w14:paraId="332A383B">
      <w:pPr>
        <w:pStyle w:val="8"/>
        <w:keepNext w:val="0"/>
        <w:keepLines w:val="0"/>
        <w:widowControl/>
        <w:suppressLineNumbers w:val="0"/>
        <w:jc w:val="both"/>
        <w:rPr>
          <w:sz w:val="24"/>
          <w:szCs w:val="24"/>
        </w:rPr>
      </w:pPr>
      <w:r>
        <w:rPr>
          <w:sz w:val="24"/>
          <w:szCs w:val="24"/>
        </w:rPr>
        <w:t xml:space="preserve">Because the progressive death of retinal ganglion cells is a </w:t>
      </w:r>
      <w:r>
        <w:rPr>
          <w:rFonts w:hint="default"/>
          <w:sz w:val="24"/>
          <w:szCs w:val="24"/>
          <w:lang w:val="en-US"/>
        </w:rPr>
        <w:t>distinguishing feature</w:t>
      </w:r>
      <w:r>
        <w:rPr>
          <w:sz w:val="24"/>
          <w:szCs w:val="24"/>
        </w:rPr>
        <w:t xml:space="preserve"> of glaucoma, the disease </w:t>
      </w:r>
      <w:r>
        <w:rPr>
          <w:rFonts w:hint="default"/>
          <w:sz w:val="24"/>
          <w:szCs w:val="24"/>
          <w:lang w:val="en-US"/>
        </w:rPr>
        <w:t>displays comparable features</w:t>
      </w:r>
      <w:r>
        <w:rPr>
          <w:sz w:val="24"/>
          <w:szCs w:val="24"/>
        </w:rPr>
        <w:t xml:space="preserve"> with other neurodegenerative conditions like Alzheimer’s disease [9]. </w:t>
      </w:r>
      <w:r>
        <w:rPr>
          <w:rFonts w:hint="default"/>
          <w:sz w:val="24"/>
          <w:szCs w:val="24"/>
          <w:lang w:val="en-US"/>
        </w:rPr>
        <w:t>Remarkably</w:t>
      </w:r>
      <w:r>
        <w:rPr>
          <w:sz w:val="24"/>
          <w:szCs w:val="24"/>
        </w:rPr>
        <w:t xml:space="preserve">, a population-based cohort study has </w:t>
      </w:r>
      <w:r>
        <w:rPr>
          <w:rFonts w:hint="default"/>
          <w:sz w:val="24"/>
          <w:szCs w:val="24"/>
          <w:lang w:val="en-US"/>
        </w:rPr>
        <w:t>demonstrated</w:t>
      </w:r>
      <w:r>
        <w:rPr>
          <w:sz w:val="24"/>
          <w:szCs w:val="24"/>
        </w:rPr>
        <w:t xml:space="preserve"> a statistically significant </w:t>
      </w:r>
      <w:r>
        <w:rPr>
          <w:rFonts w:hint="default"/>
          <w:sz w:val="24"/>
          <w:szCs w:val="24"/>
          <w:lang w:val="en-US"/>
        </w:rPr>
        <w:t xml:space="preserve">adjustment  </w:t>
      </w:r>
      <w:r>
        <w:rPr>
          <w:sz w:val="24"/>
          <w:szCs w:val="24"/>
        </w:rPr>
        <w:t>between glaucoma and Alzheimer’s, suggesting an underlying link between neurodegeneration in the central nervous system and the retina [10,11].</w:t>
      </w:r>
    </w:p>
    <w:p w14:paraId="3B691C1F">
      <w:pPr>
        <w:pStyle w:val="8"/>
        <w:keepNext w:val="0"/>
        <w:keepLines w:val="0"/>
        <w:widowControl/>
        <w:suppressLineNumbers w:val="0"/>
        <w:jc w:val="both"/>
        <w:rPr>
          <w:rFonts w:hint="default"/>
          <w:sz w:val="24"/>
          <w:szCs w:val="24"/>
          <w:lang w:val="en-US"/>
        </w:rPr>
      </w:pPr>
      <w:r>
        <w:rPr>
          <w:sz w:val="24"/>
          <w:szCs w:val="24"/>
        </w:rPr>
        <w:t>In our analysis, we applied machine learning algorithms to clinical data, which we segmented into training, validation, and test sets for performance evaluation. The model's accuracy was determined based on the test data, and we constructed a confusion matrix to distinguish between glaucomatous and healthy cases.</w:t>
      </w:r>
      <w:r>
        <w:rPr>
          <w:rFonts w:hint="default"/>
          <w:sz w:val="24"/>
          <w:szCs w:val="24"/>
          <w:lang w:val="en-US"/>
        </w:rPr>
        <w:t xml:space="preserve"> We study about both cases in our research and analysis the results. </w:t>
      </w:r>
    </w:p>
    <w:p w14:paraId="1B1FBF59">
      <w:pPr>
        <w:pStyle w:val="8"/>
        <w:keepNext w:val="0"/>
        <w:keepLines w:val="0"/>
        <w:widowControl/>
        <w:suppressLineNumbers w:val="0"/>
        <w:jc w:val="both"/>
        <w:rPr>
          <w:lang w:eastAsia="zh-CN"/>
        </w:rPr>
      </w:pPr>
    </w:p>
    <w:p w14:paraId="24BE7888">
      <w:pPr>
        <w:jc w:val="both"/>
        <w:rPr>
          <w:rFonts w:hint="default" w:ascii="Times New Roman" w:hAnsi="Times New Roman" w:cs="Times New Roman"/>
          <w:b/>
          <w:bCs/>
          <w:sz w:val="36"/>
          <w:szCs w:val="36"/>
        </w:rPr>
      </w:pPr>
      <w:r>
        <w:rPr>
          <w:rFonts w:hint="default" w:ascii="Times New Roman" w:hAnsi="Times New Roman" w:cs="Times New Roman"/>
          <w:b/>
          <w:bCs/>
          <w:sz w:val="36"/>
          <w:szCs w:val="36"/>
        </w:rPr>
        <w:t xml:space="preserve">Related work: </w:t>
      </w:r>
    </w:p>
    <w:p w14:paraId="71E25DF2">
      <w:pPr>
        <w:pStyle w:val="8"/>
        <w:keepNext w:val="0"/>
        <w:keepLines w:val="0"/>
        <w:widowControl/>
        <w:suppressLineNumbers w:val="0"/>
        <w:jc w:val="both"/>
      </w:pPr>
      <w:r>
        <w:t>While intraocular pressure (IOP) is a well-established risk factor,</w:t>
      </w:r>
      <w:r>
        <w:rPr>
          <w:rFonts w:hint="default"/>
          <w:lang w:val="en-US"/>
        </w:rPr>
        <w:t xml:space="preserve">by itself, it does not adequately </w:t>
      </w:r>
      <w:r>
        <w:t xml:space="preserve"> predict the develop</w:t>
      </w:r>
      <w:r>
        <w:rPr>
          <w:rFonts w:hint="default"/>
          <w:lang w:val="en-US"/>
        </w:rPr>
        <w:t>m</w:t>
      </w:r>
      <w:r>
        <w:t xml:space="preserve">ent of glaucoma. </w:t>
      </w:r>
      <w:r>
        <w:rPr>
          <w:rFonts w:hint="default"/>
          <w:lang w:val="en-US"/>
        </w:rPr>
        <w:t>Nevertheless</w:t>
      </w:r>
      <w:r>
        <w:t xml:space="preserve">, analyzing comorbid conditions has </w:t>
      </w:r>
      <w:r>
        <w:rPr>
          <w:rFonts w:hint="default"/>
          <w:lang w:val="en-US"/>
        </w:rPr>
        <w:t xml:space="preserve">emerged as a useful additional technique </w:t>
      </w:r>
      <w:r>
        <w:t>for early-stage glaucoma detection [12]. For instance, Joanne et al. found that</w:t>
      </w:r>
      <w:r>
        <w:rPr>
          <w:rFonts w:hint="default"/>
          <w:lang w:val="en-US"/>
        </w:rPr>
        <w:t xml:space="preserve"> people living with systemic conditions such as</w:t>
      </w:r>
      <w:r>
        <w:t xml:space="preserve"> diabetes have a 2.8 times higher likelihood of developing glaucoma compared to those without diabetes [13]. Similarly, Deokule et al. highlighted that vascular diseases, particularly coronary artery disease, are </w:t>
      </w:r>
      <w:r>
        <w:rPr>
          <w:rFonts w:hint="default"/>
          <w:lang w:val="en-US"/>
        </w:rPr>
        <w:t xml:space="preserve">affiliated with </w:t>
      </w:r>
      <w:r>
        <w:t xml:space="preserve">glaucoma risk and may act as potential prognostic indicators [14]. Supporting this, large-scale cross-sectional studies such as the Egna-Neumarkt Glaucoma Study, the Rotterdam Eye Study, and the Blue Mountain Eye Study have </w:t>
      </w:r>
      <w:r>
        <w:rPr>
          <w:rFonts w:hint="default"/>
          <w:lang w:val="en-US"/>
        </w:rPr>
        <w:t>identified an association</w:t>
      </w:r>
      <w:r>
        <w:t xml:space="preserve"> between elevated blood pressure and increased glaucoma prevalence [14–16].</w:t>
      </w:r>
    </w:p>
    <w:p w14:paraId="16AE5D39">
      <w:pPr>
        <w:pStyle w:val="8"/>
        <w:keepNext w:val="0"/>
        <w:keepLines w:val="0"/>
        <w:widowControl/>
        <w:suppressLineNumbers w:val="0"/>
        <w:jc w:val="both"/>
      </w:pPr>
      <w:r>
        <w:rPr>
          <w:rFonts w:hint="default"/>
          <w:lang w:val="en-US"/>
        </w:rPr>
        <w:t>On the other hand</w:t>
      </w:r>
      <w:r>
        <w:t>, medical management of systemic diseases like diabetes and hypertension could have a</w:t>
      </w:r>
      <w:r>
        <w:rPr>
          <w:rFonts w:hint="default"/>
          <w:lang w:val="en-US"/>
        </w:rPr>
        <w:t xml:space="preserve"> sophisticated</w:t>
      </w:r>
      <w:r>
        <w:t xml:space="preserve"> influence on glaucoma onset—an area that has not been thoroughly investigated in longitudinal or cross-sectional designs. It's important to note that most previous studies relied on knowledge-driven or hypothesis-based approaches, often incorporating a limited number of predefined variables in their predictive analyses.</w:t>
      </w:r>
    </w:p>
    <w:p w14:paraId="2A12F165">
      <w:pPr>
        <w:pStyle w:val="8"/>
        <w:keepNext w:val="0"/>
        <w:keepLines w:val="0"/>
        <w:widowControl/>
        <w:suppressLineNumbers w:val="0"/>
        <w:jc w:val="both"/>
      </w:pPr>
      <w:r>
        <w:t>With the widespread adoption of electronic health records (EHRs) and their increasing use in secondary research [17], there is now a</w:t>
      </w:r>
      <w:r>
        <w:rPr>
          <w:rFonts w:hint="default"/>
          <w:lang w:val="en-US"/>
        </w:rPr>
        <w:t xml:space="preserve"> compelling opportunity to adopt an evidence-based approach</w:t>
      </w:r>
      <w:r>
        <w:t xml:space="preserve"> for developing predictive models. These models can help uncover how comorbidities and their treatments influence glaucoma onset. EHRs hold a wealth of clinical data that can be </w:t>
      </w:r>
      <w:r>
        <w:rPr>
          <w:rFonts w:hint="default"/>
          <w:lang w:val="en-US"/>
        </w:rPr>
        <w:t>utilized in multiple ways</w:t>
      </w:r>
      <w:r>
        <w:t>, including clinical decision support [18], identification of prognostic markers [19], and comprehensive risk assessment [20].</w:t>
      </w:r>
    </w:p>
    <w:p w14:paraId="2CF35F14">
      <w:pPr>
        <w:pStyle w:val="8"/>
        <w:keepNext w:val="0"/>
        <w:keepLines w:val="0"/>
        <w:widowControl/>
        <w:suppressLineNumbers w:val="0"/>
        <w:jc w:val="both"/>
      </w:pPr>
      <w:r>
        <w:t>In recent years, machine learning (ML) techniques</w:t>
      </w:r>
      <w:r>
        <w:rPr>
          <w:rFonts w:hint="default"/>
          <w:lang w:val="en-US"/>
        </w:rPr>
        <w:t xml:space="preserve"> have shown considerable promise in a wide range of field</w:t>
      </w:r>
      <w:r>
        <w:t xml:space="preserve">s, including clinical data analysis, image classification, diagnostic modeling, and decision-making support systems [21]. For example, Bertsimas et al. successfully combined unsupervised and supervised ML algorithms to forecast near-future healthcare expenditures for patients [22]. ML </w:t>
      </w:r>
      <w:r>
        <w:rPr>
          <w:rFonts w:hint="default"/>
          <w:lang w:val="en-US"/>
        </w:rPr>
        <w:t>strategies have also seen use in</w:t>
      </w:r>
      <w:r>
        <w:t xml:space="preserve"> EHR data to enhance the prediction of risk factors for glaucoma, cataract surgery complications, and diabetic retinopathy [23–26]. Additional studies have </w:t>
      </w:r>
      <w:r>
        <w:rPr>
          <w:rFonts w:hint="default"/>
          <w:lang w:val="en-US"/>
        </w:rPr>
        <w:t>analyzed the connections</w:t>
      </w:r>
      <w:r>
        <w:t xml:space="preserve"> between various risk factors and outcomes such as postoperative visual acuity [27,28].</w:t>
      </w:r>
    </w:p>
    <w:p w14:paraId="5284E560">
      <w:pPr>
        <w:pStyle w:val="8"/>
        <w:keepNext w:val="0"/>
        <w:keepLines w:val="0"/>
        <w:widowControl/>
        <w:suppressLineNumbers w:val="0"/>
        <w:jc w:val="both"/>
      </w:pPr>
      <w:r>
        <w:t>In the field of ophthalmic imaging, Almazroa et al. demonstrated that automated glaucoma detection using fundus photographs</w:t>
      </w:r>
      <w:r>
        <w:rPr>
          <w:rFonts w:hint="default"/>
          <w:lang w:val="en-US"/>
        </w:rPr>
        <w:t xml:space="preserve"> has the potential to be effective</w:t>
      </w:r>
      <w:r>
        <w:t xml:space="preserve"> [29]. A systematic review further highlighted the range of ML techniques applied to glaucoma diagnosis, progression tracking, and risk evaluation </w:t>
      </w:r>
      <w:r>
        <w:rPr>
          <w:rFonts w:hint="default"/>
          <w:lang w:val="en-US"/>
        </w:rPr>
        <w:t>employing medical imaging techniques</w:t>
      </w:r>
      <w:r>
        <w:t xml:space="preserve"> [26]. These imaging techniques can detect molecular-level changes that have </w:t>
      </w:r>
      <w:r>
        <w:rPr>
          <w:rFonts w:hint="default"/>
          <w:lang w:val="en-US"/>
        </w:rPr>
        <w:t>previously manifested within the</w:t>
      </w:r>
      <w:r>
        <w:t xml:space="preserve"> ocular tissues. Bragança et al., in a recent study, applied deep learning on smartphone-based fundus images captured via handheld ophthalmoscopes and </w:t>
      </w:r>
      <w:r>
        <w:rPr>
          <w:rFonts w:hint="default"/>
          <w:lang w:val="en-US"/>
        </w:rPr>
        <w:t>demonstrated an</w:t>
      </w:r>
      <w:r>
        <w:t xml:space="preserve"> accuracy rate of approximately 90% in glaucoma detection [30].</w:t>
      </w:r>
    </w:p>
    <w:p w14:paraId="6D4127CA">
      <w:pPr>
        <w:pStyle w:val="8"/>
        <w:keepNext w:val="0"/>
        <w:keepLines w:val="0"/>
        <w:widowControl/>
        <w:suppressLineNumbers w:val="0"/>
        <w:jc w:val="both"/>
        <w:rPr>
          <w:b/>
          <w:bCs/>
          <w:sz w:val="28"/>
          <w:szCs w:val="28"/>
        </w:rPr>
      </w:pPr>
      <w:r>
        <w:rPr>
          <w:rFonts w:hint="default"/>
          <w:lang w:val="en-US"/>
        </w:rPr>
        <w:t>In comparison</w:t>
      </w:r>
      <w:r>
        <w:t xml:space="preserve"> to image-based approaches, EHR-based models focus on predicting glaucoma onset by analyzing patients’ comorbidity histories. Notably, Baxter et al. used machine learning models built on EHR data to</w:t>
      </w:r>
      <w:r>
        <w:rPr>
          <w:rFonts w:hint="default"/>
          <w:lang w:val="en-US"/>
        </w:rPr>
        <w:t xml:space="preserve"> predict the necessity for</w:t>
      </w:r>
      <w:r>
        <w:t xml:space="preserve"> surgical intervention for glaucoma. Their model showed promising results in predicting surgical needs up to six months in advance [31].</w:t>
      </w:r>
    </w:p>
    <w:p w14:paraId="4A620FFB">
      <w:pPr>
        <w:jc w:val="both"/>
        <w:rPr>
          <w:b/>
          <w:bCs/>
          <w:sz w:val="28"/>
          <w:szCs w:val="28"/>
        </w:rPr>
      </w:pPr>
    </w:p>
    <w:p w14:paraId="5D2528F6">
      <w:pPr>
        <w:jc w:val="both"/>
        <w:rPr>
          <w:rFonts w:cstheme="minorHAnsi"/>
          <w:b/>
          <w:sz w:val="36"/>
          <w:szCs w:val="36"/>
        </w:rPr>
      </w:pPr>
      <w:r>
        <w:rPr>
          <w:rFonts w:cstheme="minorHAnsi"/>
          <w:b/>
          <w:sz w:val="36"/>
          <w:szCs w:val="36"/>
        </w:rPr>
        <w:t>About Dataset</w:t>
      </w:r>
      <w:r>
        <w:rPr>
          <w:rFonts w:hint="default" w:cstheme="minorHAnsi"/>
          <w:b/>
          <w:sz w:val="36"/>
          <w:szCs w:val="36"/>
          <w:lang w:val="en-US"/>
        </w:rPr>
        <w:t>:</w:t>
      </w:r>
      <w:r>
        <w:rPr>
          <w:rFonts w:cstheme="minorHAnsi"/>
          <w:b/>
          <w:sz w:val="36"/>
          <w:szCs w:val="36"/>
        </w:rPr>
        <w:t xml:space="preserve">  </w:t>
      </w:r>
    </w:p>
    <w:p w14:paraId="5F817837">
      <w:pPr>
        <w:jc w:val="both"/>
        <w:rPr>
          <w:rStyle w:val="9"/>
          <w:rFonts w:hint="default" w:ascii="Times New Roman" w:hAnsi="Times New Roman" w:cs="Times New Roman"/>
          <w:b w:val="0"/>
          <w:color w:val="000000" w:themeColor="text1"/>
          <w:sz w:val="24"/>
          <w:szCs w:val="24"/>
          <w:shd w:val="clear" w:color="auto" w:fill="FFFFFF"/>
          <w14:textFill>
            <w14:solidFill>
              <w14:schemeClr w14:val="tx1"/>
            </w14:solidFill>
          </w14:textFill>
        </w:rPr>
      </w:pPr>
      <w:r>
        <w:rPr>
          <w:rFonts w:hint="default" w:ascii="Times New Roman" w:hAnsi="Times New Roman" w:cs="Times New Roman"/>
          <w:color w:val="000000" w:themeColor="text1"/>
          <w:sz w:val="24"/>
          <w:szCs w:val="24"/>
          <w:shd w:val="clear" w:color="auto" w:fill="FFFFFF"/>
          <w14:textFill>
            <w14:solidFill>
              <w14:schemeClr w14:val="tx1"/>
            </w14:solidFill>
          </w14:textFill>
        </w:rPr>
        <w:t>Standardized Multi-Channel Dataset for Glaucoma (SMDG-19) is a collection and standardization of 19 public datasets, comprised of full-fundus glaucoma images, associated image metadata like, optic disc segmentation, optic cup segmentation, blood vessel segmentation, and any provided per-instance text metadata like sex and age. This dataset is designed to be exploratory and open-ended with multiple use cases and no established training/validation/test cases. </w:t>
      </w:r>
      <w:r>
        <w:rPr>
          <w:rStyle w:val="9"/>
          <w:rFonts w:hint="default" w:ascii="Times New Roman" w:hAnsi="Times New Roman" w:cs="Times New Roman"/>
          <w:b w:val="0"/>
          <w:color w:val="000000" w:themeColor="text1"/>
          <w:sz w:val="24"/>
          <w:szCs w:val="24"/>
          <w:shd w:val="clear" w:color="auto" w:fill="FFFFFF"/>
          <w14:textFill>
            <w14:solidFill>
              <w14:schemeClr w14:val="tx1"/>
            </w14:solidFill>
          </w14:textFill>
        </w:rPr>
        <w:t>This dataset is the largest public repository of fundus images with glaucoma.</w:t>
      </w:r>
    </w:p>
    <w:p w14:paraId="2A097833">
      <w:pPr>
        <w:spacing w:before="360" w:after="180" w:line="330" w:lineRule="atLeast"/>
        <w:jc w:val="both"/>
        <w:textAlignment w:val="baseline"/>
        <w:outlineLvl w:val="1"/>
        <w:rPr>
          <w:rFonts w:eastAsia="Times New Roman" w:cstheme="minorHAnsi"/>
          <w:b/>
          <w:bCs/>
          <w:color w:val="202124"/>
          <w:sz w:val="27"/>
          <w:szCs w:val="27"/>
        </w:rPr>
      </w:pPr>
      <w:r>
        <w:rPr>
          <w:rFonts w:eastAsia="Times New Roman" w:cstheme="minorHAnsi"/>
          <w:b/>
          <w:bCs/>
          <w:color w:val="202124"/>
          <w:sz w:val="27"/>
          <w:szCs w:val="27"/>
        </w:rPr>
        <w:t>Dataset Objective</w:t>
      </w:r>
    </w:p>
    <w:p w14:paraId="6944088F">
      <w:pPr>
        <w:spacing w:after="240" w:line="240" w:lineRule="auto"/>
        <w:jc w:val="both"/>
        <w:textAlignment w:val="baseline"/>
        <w:rPr>
          <w:rFonts w:hint="default" w:ascii="Times New Roman" w:hAnsi="Times New Roman" w:cs="Times New Roman"/>
          <w:color w:val="000000" w:themeColor="text1"/>
          <w:sz w:val="24"/>
          <w:szCs w:val="24"/>
          <w:shd w:val="clear" w:color="auto" w:fill="FFFFFF"/>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The objective of this dataset is a machine learning-ready dataset for glaucoma-related applications.</w:t>
      </w:r>
      <w:r>
        <w:rPr>
          <w:rFonts w:hint="default" w:ascii="Times New Roman" w:hAnsi="Times New Roman" w:cs="Times New Roman"/>
          <w:color w:val="000000" w:themeColor="text1"/>
          <w:sz w:val="24"/>
          <w:szCs w:val="24"/>
          <w:shd w:val="clear" w:color="auto" w:fill="FFFFFF"/>
          <w14:textFill>
            <w14:solidFill>
              <w14:schemeClr w14:val="tx1"/>
            </w14:solidFill>
          </w14:textFill>
        </w:rPr>
        <w:t xml:space="preserve"> Using the help of the community, new open-source glaucoma datasets will be reviewed for standardization and inclusion in this dataset.</w:t>
      </w:r>
    </w:p>
    <w:p w14:paraId="7E3DDE28">
      <w:pPr>
        <w:spacing w:before="360" w:after="180" w:line="330" w:lineRule="atLeast"/>
        <w:jc w:val="both"/>
        <w:textAlignment w:val="baseline"/>
        <w:outlineLvl w:val="1"/>
        <w:rPr>
          <w:rFonts w:eastAsia="Times New Roman" w:cstheme="minorHAnsi"/>
          <w:b/>
          <w:bCs/>
          <w:color w:val="202124"/>
          <w:sz w:val="27"/>
          <w:szCs w:val="27"/>
        </w:rPr>
      </w:pPr>
      <w:r>
        <w:rPr>
          <w:rFonts w:eastAsia="Times New Roman" w:cstheme="minorHAnsi"/>
          <w:b/>
          <w:bCs/>
          <w:color w:val="202124"/>
          <w:sz w:val="27"/>
          <w:szCs w:val="27"/>
        </w:rPr>
        <w:t>Data Standardization</w:t>
      </w:r>
    </w:p>
    <w:p w14:paraId="357C2AE0">
      <w:pPr>
        <w:spacing w:before="120" w:after="120" w:line="240" w:lineRule="auto"/>
        <w:jc w:val="both"/>
        <w:textAlignment w:val="baseline"/>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Full fundus images (and corresponding segmentation maps) are standardized using a novel algorithm (Citation 1) by cropping the background, centering the fundus image, padding missing information, and resizing to 512x512 pixels. This standardization ensures that the most amount of foreground information is prevalent during the resizing process for machine-learning-ready image processing.</w:t>
      </w:r>
    </w:p>
    <w:p w14:paraId="0E92E6A9">
      <w:pPr>
        <w:spacing w:before="120" w:after="120" w:line="240" w:lineRule="auto"/>
        <w:jc w:val="both"/>
        <w:textAlignment w:val="baseline"/>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eastAsia="Times New Roman" w:cs="Times New Roman"/>
          <w:color w:val="000000" w:themeColor="text1"/>
          <w:sz w:val="24"/>
          <w:szCs w:val="24"/>
          <w14:textFill>
            <w14:solidFill>
              <w14:schemeClr w14:val="tx1"/>
            </w14:solidFill>
          </w14:textFill>
        </w:rPr>
        <w:t>Each available metadata text is standardized by provided each fundus image as a row and each fundus attribute as a column in a CSV file</w:t>
      </w:r>
    </w:p>
    <w:p w14:paraId="5E0735E9">
      <w:pPr>
        <w:spacing w:after="240" w:line="240" w:lineRule="auto"/>
        <w:jc w:val="both"/>
        <w:textAlignment w:val="baseline"/>
        <w:rPr>
          <w:rFonts w:ascii="Arial" w:hAnsi="Arial" w:eastAsia="Times New Roman" w:cs="Arial"/>
          <w:color w:val="3C4043"/>
          <w:sz w:val="21"/>
          <w:szCs w:val="21"/>
        </w:rPr>
      </w:pPr>
    </w:p>
    <w:p w14:paraId="4E9B6082">
      <w:pPr>
        <w:jc w:val="both"/>
      </w:pPr>
    </w:p>
    <w:p w14:paraId="53BCFA78">
      <w:pPr>
        <w:jc w:val="both"/>
        <w:rPr>
          <w:b/>
          <w:bCs/>
          <w:sz w:val="36"/>
          <w:szCs w:val="36"/>
        </w:rPr>
      </w:pPr>
      <w:r>
        <w:rPr>
          <w:b/>
          <w:bCs/>
          <w:sz w:val="36"/>
          <w:szCs w:val="36"/>
        </w:rPr>
        <w:t xml:space="preserve">Methodology: </w:t>
      </w:r>
    </w:p>
    <w:p w14:paraId="72EFFEF4">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We have take 8134 images as training data, 400 images for validation data, and 1000 images for testing data.</w:t>
      </w:r>
    </w:p>
    <w:p w14:paraId="3E3DBAE3">
      <w:pPr>
        <w:jc w:val="both"/>
        <w:rPr>
          <w:rFonts w:hint="default" w:ascii="Times New Roman" w:hAnsi="Times New Roman" w:cs="Times New Roman"/>
          <w:color w:val="000000" w:themeColor="text1"/>
          <w:sz w:val="24"/>
          <w:szCs w:val="24"/>
          <w14:textFill>
            <w14:solidFill>
              <w14:schemeClr w14:val="tx1"/>
            </w14:solidFill>
          </w14:textFill>
        </w:rPr>
      </w:pPr>
    </w:p>
    <w:p w14:paraId="2C73537F">
      <w:p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Glaucoma is a group of disease which damages optic nerve of eyes. If this disease be untreated then it able to take the vision loss of our eyes. So it is very important to detect earlier and start the treatment at the early stage. In our study, we have taken previous data to analyze them with Machine Learning techniques to detect the healthy eye and glaucoma affected eye. In figure-1, we have made a CNN based architecture, which helps us to do step by step whole detection process of healthy and glaucoma eye. In figure-2, we have get the CNN all layers which applied in our study step by step. Glaucoma is the leading eye problem globally. So it should be treated earlier to not get any more complicated situation and not be blind at the early age. </w:t>
      </w:r>
    </w:p>
    <w:p w14:paraId="57B9C6CF">
      <w:p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At first it will take input fundus images. Then it crops the background of that images.It will center the fundus image. Padding is being added to cover missing information about specific image. Resizing the images to get better result. It rezises as 512*512 pixels.</w:t>
      </w:r>
    </w:p>
    <w:p w14:paraId="34732A12">
      <w:p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Then the visualization Part, it includes CNN architecture model training, testing, validation in feature extraction. It involves model evaluation. Then get confusion matrix, accuracy in the result part.</w:t>
      </w:r>
    </w:p>
    <w:p w14:paraId="532C8C31">
      <w:p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Convolutional Neural Network (CNN) is a part of deep learning model, which works with grid-like data(e.g., Images). It is designed to adapt to learn spatial hierarchies of features through convolutional layers. It accepts the raw images as input images. In convolutional layer, it applies kernels that slide over the input to extract the features. Then it gets the feature map. Then uses padding to control image size. Activation function is applied to introduce non-linearity to the function. Then the pooling layers come to reduces the spatial dimensions of the feature maps. It helps to keep the important features while reducing overfitting. In this pooling layers, commonly used is Max pooling which takes the maximum value in a region, we have used max pooling in our study. Other pooling layers can be used is average pooling, which takes the average value of the study. CNNs can have multiple conv+pool blocks. It helps to get more accurate result for our study. Then used flattening Layer which converts the final pooled feature maps into a 1D vector, which involves with fully connected layers.Then Dense(Fully connected layers) come at the end of CNNs. It combines extracted features to make predictions of the model. Finally the output layers consists of classification of our model. In out study, we have used sigmoid (binary classification) which indicated glaucoma or healthy eyes. </w:t>
      </w:r>
    </w:p>
    <w:p w14:paraId="6F545394">
      <w:pPr>
        <w:jc w:val="both"/>
        <w:rPr>
          <w:rFonts w:hint="default" w:ascii="Times New Roman" w:hAnsi="Times New Roman" w:cs="Times New Roman"/>
          <w:color w:val="000000" w:themeColor="text1"/>
          <w:sz w:val="24"/>
          <w:szCs w:val="24"/>
          <w14:textFill>
            <w14:solidFill>
              <w14:schemeClr w14:val="tx1"/>
            </w14:solidFill>
          </w14:textFill>
        </w:rPr>
      </w:pPr>
    </w:p>
    <w:p w14:paraId="4A4897F6">
      <w:p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Here is the proposed architecture to detect glaucoma and healthy eye using Machine Learning technique: </w:t>
      </w:r>
    </w:p>
    <w:p w14:paraId="29BC55F2">
      <w:pPr>
        <w:jc w:val="both"/>
        <w:rPr>
          <w:rFonts w:hint="default" w:ascii="Times New Roman" w:hAnsi="Times New Roman" w:cs="Times New Roman"/>
          <w:color w:val="000000" w:themeColor="text1"/>
          <w:sz w:val="22"/>
          <w:szCs w:val="22"/>
          <w14:textFill>
            <w14:solidFill>
              <w14:schemeClr w14:val="tx1"/>
            </w14:solidFill>
          </w14:textFill>
        </w:rPr>
      </w:pPr>
    </w:p>
    <w:p w14:paraId="30A9A18A">
      <w:pPr>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drawing>
          <wp:inline distT="0" distB="0" distL="114300" distR="114300">
            <wp:extent cx="3374390" cy="5886450"/>
            <wp:effectExtent l="0" t="0" r="16510" b="0"/>
            <wp:docPr id="3" name="Picture 3" descr="Glaucom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laucoma 1.1"/>
                    <pic:cNvPicPr>
                      <a:picLocks noChangeAspect="1"/>
                    </pic:cNvPicPr>
                  </pic:nvPicPr>
                  <pic:blipFill>
                    <a:blip r:embed="rId6"/>
                    <a:stretch>
                      <a:fillRect/>
                    </a:stretch>
                  </pic:blipFill>
                  <pic:spPr>
                    <a:xfrm>
                      <a:off x="0" y="0"/>
                      <a:ext cx="3374390" cy="5886450"/>
                    </a:xfrm>
                    <a:prstGeom prst="rect">
                      <a:avLst/>
                    </a:prstGeom>
                  </pic:spPr>
                </pic:pic>
              </a:graphicData>
            </a:graphic>
          </wp:inline>
        </w:drawing>
      </w:r>
    </w:p>
    <w:p w14:paraId="0571D4AC">
      <w:pPr>
        <w:ind w:firstLine="720" w:firstLineChars="300"/>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Figure-1: The proposed CNN architecture to detect Glaucoma eye disease</w:t>
      </w:r>
    </w:p>
    <w:p w14:paraId="0D6F4F86">
      <w:pPr>
        <w:jc w:val="both"/>
        <w:rPr>
          <w:rFonts w:hint="default" w:ascii="Times New Roman" w:hAnsi="Times New Roman" w:cs="Times New Roman"/>
          <w:color w:val="000000" w:themeColor="text1"/>
          <w:sz w:val="22"/>
          <w:szCs w:val="22"/>
          <w14:textFill>
            <w14:solidFill>
              <w14:schemeClr w14:val="tx1"/>
            </w14:solidFill>
          </w14:textFill>
        </w:rPr>
      </w:pPr>
    </w:p>
    <w:p w14:paraId="61BB3245">
      <w:p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CNN used for image classification, object detection, medical image analysis(like detecting glaucoma from retinal scans).It consists various layers, here we have given the model used in our study:</w:t>
      </w:r>
    </w:p>
    <w:p w14:paraId="54BF2574">
      <w:pPr>
        <w:jc w:val="both"/>
        <w:rPr>
          <w:rFonts w:hint="default" w:ascii="Times New Roman" w:hAnsi="Times New Roman" w:cs="Times New Roman"/>
          <w:color w:val="000000" w:themeColor="text1"/>
          <w:sz w:val="22"/>
          <w:szCs w:val="22"/>
          <w:lang w:val="en-US"/>
          <w14:textFill>
            <w14:solidFill>
              <w14:schemeClr w14:val="tx1"/>
            </w14:solidFill>
          </w14:textFill>
        </w:rPr>
      </w:pPr>
      <w:r>
        <w:rPr>
          <w:rFonts w:hint="default" w:ascii="Times New Roman" w:hAnsi="Times New Roman" w:cs="Times New Roman"/>
          <w:color w:val="000000" w:themeColor="text1"/>
          <w:sz w:val="22"/>
          <w:szCs w:val="22"/>
          <w:lang w:val="en-US"/>
          <w14:textFill>
            <w14:solidFill>
              <w14:schemeClr w14:val="tx1"/>
            </w14:solidFill>
          </w14:textFill>
        </w:rPr>
        <w:drawing>
          <wp:inline distT="0" distB="0" distL="114300" distR="114300">
            <wp:extent cx="1828800" cy="3305175"/>
            <wp:effectExtent l="0" t="0" r="0" b="9525"/>
            <wp:docPr id="9" name="Picture 9" descr="Glaucom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laucoma 1.2"/>
                    <pic:cNvPicPr>
                      <a:picLocks noChangeAspect="1"/>
                    </pic:cNvPicPr>
                  </pic:nvPicPr>
                  <pic:blipFill>
                    <a:blip r:embed="rId7"/>
                    <a:stretch>
                      <a:fillRect/>
                    </a:stretch>
                  </pic:blipFill>
                  <pic:spPr>
                    <a:xfrm>
                      <a:off x="0" y="0"/>
                      <a:ext cx="1828800" cy="3305175"/>
                    </a:xfrm>
                    <a:prstGeom prst="rect">
                      <a:avLst/>
                    </a:prstGeom>
                  </pic:spPr>
                </pic:pic>
              </a:graphicData>
            </a:graphic>
          </wp:inline>
        </w:drawing>
      </w:r>
    </w:p>
    <w:p w14:paraId="323D8937">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Figure-2: CNN model used here</w:t>
      </w:r>
    </w:p>
    <w:p w14:paraId="02C54CA3">
      <w:pPr>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This is for training dataset sample, 0 indicates healthy eyes:</w:t>
      </w:r>
    </w:p>
    <w:p w14:paraId="697BE946">
      <w:pPr>
        <w:jc w:val="both"/>
        <w:rPr>
          <w:sz w:val="28"/>
          <w:szCs w:val="28"/>
        </w:rPr>
      </w:pPr>
      <w:r>
        <w:rPr>
          <w:sz w:val="28"/>
          <w:szCs w:val="28"/>
        </w:rPr>
        <w:drawing>
          <wp:inline distT="0" distB="0" distL="114300" distR="114300">
            <wp:extent cx="3328670" cy="3812540"/>
            <wp:effectExtent l="0" t="0" r="5080" b="16510"/>
            <wp:docPr id="1" name="Picture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1"/>
                    <pic:cNvPicPr>
                      <a:picLocks noChangeAspect="1"/>
                    </pic:cNvPicPr>
                  </pic:nvPicPr>
                  <pic:blipFill>
                    <a:blip r:embed="rId8"/>
                    <a:stretch>
                      <a:fillRect/>
                    </a:stretch>
                  </pic:blipFill>
                  <pic:spPr>
                    <a:xfrm>
                      <a:off x="0" y="0"/>
                      <a:ext cx="3328670" cy="3812540"/>
                    </a:xfrm>
                    <a:prstGeom prst="rect">
                      <a:avLst/>
                    </a:prstGeom>
                  </pic:spPr>
                </pic:pic>
              </a:graphicData>
            </a:graphic>
          </wp:inline>
        </w:drawing>
      </w:r>
    </w:p>
    <w:p w14:paraId="3D0AAA84">
      <w:pPr>
        <w:jc w:val="both"/>
        <w:rPr>
          <w:rFonts w:hint="default" w:ascii="Times New Roman" w:hAnsi="Times New Roman" w:cs="Times New Roman"/>
          <w:sz w:val="24"/>
          <w:szCs w:val="24"/>
        </w:rPr>
      </w:pPr>
      <w:r>
        <w:rPr>
          <w:rFonts w:hint="default" w:ascii="Times New Roman" w:hAnsi="Times New Roman" w:cs="Times New Roman"/>
          <w:sz w:val="24"/>
          <w:szCs w:val="24"/>
        </w:rPr>
        <w:t>Figure-</w:t>
      </w:r>
      <w:r>
        <w:rPr>
          <w:rFonts w:hint="default" w:ascii="Times New Roman" w:hAnsi="Times New Roman" w:cs="Times New Roman"/>
          <w:sz w:val="24"/>
          <w:szCs w:val="24"/>
          <w:lang w:val="en-US"/>
        </w:rPr>
        <w:t>3</w:t>
      </w:r>
      <w:r>
        <w:rPr>
          <w:rFonts w:hint="default" w:ascii="Times New Roman" w:hAnsi="Times New Roman" w:cs="Times New Roman"/>
          <w:sz w:val="24"/>
          <w:szCs w:val="24"/>
        </w:rPr>
        <w:t>: Sample for test dataset(0 means glaucoma absent)</w:t>
      </w:r>
    </w:p>
    <w:p w14:paraId="68043547">
      <w:pPr>
        <w:jc w:val="both"/>
        <w:rPr>
          <w:rFonts w:ascii="Times New Roman" w:hAnsi="Times New Roman" w:cs="Times New Roman"/>
          <w:sz w:val="24"/>
          <w:szCs w:val="24"/>
        </w:rPr>
      </w:pPr>
      <w:r>
        <w:rPr>
          <w:sz w:val="28"/>
          <w:szCs w:val="28"/>
        </w:rPr>
        <w:drawing>
          <wp:inline distT="0" distB="0" distL="114300" distR="114300">
            <wp:extent cx="2816860" cy="4684395"/>
            <wp:effectExtent l="0" t="0" r="2540" b="1905"/>
            <wp:docPr id="2" name="Picture 2"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2"/>
                    <pic:cNvPicPr>
                      <a:picLocks noChangeAspect="1"/>
                    </pic:cNvPicPr>
                  </pic:nvPicPr>
                  <pic:blipFill>
                    <a:blip r:embed="rId9"/>
                    <a:stretch>
                      <a:fillRect/>
                    </a:stretch>
                  </pic:blipFill>
                  <pic:spPr>
                    <a:xfrm>
                      <a:off x="0" y="0"/>
                      <a:ext cx="2816860" cy="4684395"/>
                    </a:xfrm>
                    <a:prstGeom prst="rect">
                      <a:avLst/>
                    </a:prstGeom>
                  </pic:spPr>
                </pic:pic>
              </a:graphicData>
            </a:graphic>
          </wp:inline>
        </w:drawing>
      </w:r>
      <w:r>
        <w:rPr>
          <w:rFonts w:ascii="Times New Roman" w:hAnsi="Times New Roman" w:cs="Times New Roman"/>
          <w:sz w:val="24"/>
          <w:szCs w:val="24"/>
        </w:rPr>
        <w:t>Figure-</w:t>
      </w:r>
      <w:r>
        <w:rPr>
          <w:rFonts w:hint="default" w:ascii="Times New Roman" w:hAnsi="Times New Roman" w:cs="Times New Roman"/>
          <w:sz w:val="24"/>
          <w:szCs w:val="24"/>
          <w:lang w:val="en-US"/>
        </w:rPr>
        <w:t>4</w:t>
      </w:r>
      <w:r>
        <w:rPr>
          <w:rFonts w:ascii="Times New Roman" w:hAnsi="Times New Roman" w:cs="Times New Roman"/>
          <w:sz w:val="24"/>
          <w:szCs w:val="24"/>
        </w:rPr>
        <w:t>: Sample for training dataset(1 means glaucoma present)</w:t>
      </w:r>
    </w:p>
    <w:p w14:paraId="22E2D9BB">
      <w:pPr>
        <w:jc w:val="both"/>
        <w:rPr>
          <w:rFonts w:ascii="Times New Roman" w:hAnsi="Times New Roman" w:cs="Times New Roman"/>
          <w:sz w:val="24"/>
          <w:szCs w:val="24"/>
        </w:rPr>
      </w:pPr>
    </w:p>
    <w:p w14:paraId="3CA4D6DC">
      <w:pPr>
        <w:jc w:val="both"/>
        <w:rPr>
          <w:rFonts w:ascii="Times New Roman" w:hAnsi="Times New Roman" w:cs="Times New Roman"/>
          <w:sz w:val="24"/>
          <w:szCs w:val="24"/>
        </w:rPr>
      </w:pPr>
    </w:p>
    <w:p w14:paraId="068BF676">
      <w:pPr>
        <w:jc w:val="both"/>
        <w:rPr>
          <w:rFonts w:hint="default" w:ascii="Times New Roman" w:hAnsi="Times New Roman" w:cs="Times New Roman"/>
          <w:b/>
          <w:bCs/>
          <w:sz w:val="36"/>
          <w:szCs w:val="36"/>
          <w:lang w:val="en-US"/>
        </w:rPr>
      </w:pPr>
      <w:r>
        <w:rPr>
          <w:rFonts w:hint="default" w:ascii="Times New Roman" w:hAnsi="Times New Roman" w:cs="Times New Roman"/>
          <w:b/>
          <w:bCs/>
          <w:sz w:val="36"/>
          <w:szCs w:val="36"/>
          <w:lang w:val="en-US"/>
        </w:rPr>
        <w:t>Result:</w:t>
      </w:r>
    </w:p>
    <w:p w14:paraId="51685B1E">
      <w:pPr>
        <w:jc w:val="both"/>
        <w:rPr>
          <w:rFonts w:ascii="Times New Roman" w:hAnsi="Times New Roman" w:cs="Times New Roman"/>
          <w:sz w:val="24"/>
          <w:szCs w:val="24"/>
        </w:rPr>
      </w:pPr>
      <w:r>
        <w:rPr>
          <w:rFonts w:ascii="Times New Roman" w:hAnsi="Times New Roman" w:cs="Times New Roman"/>
          <w:sz w:val="24"/>
          <w:szCs w:val="24"/>
        </w:rPr>
        <w:t>Using “relu” activation function, a dense layer that is fully connected to each layer, then “relu” activation function again, and lastly “sigmoid” activation function for healthy or glaucoma detection. Using VGG16, which is a convolutional neural network(CNN) architecture. It is used for computer vision and image classification. It has a simple yet effective design, characterized by its depth (16 layers with weights- 13 convolutional layers and 3 fully connected layers). It also uses small 3*3 convolutional filters. Model for this study:</w:t>
      </w:r>
    </w:p>
    <w:p w14:paraId="2B714993">
      <w:pPr>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extent cx="3334385" cy="3362325"/>
            <wp:effectExtent l="0" t="0" r="1841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334385" cy="3362794"/>
                    </a:xfrm>
                    <a:prstGeom prst="rect">
                      <a:avLst/>
                    </a:prstGeom>
                  </pic:spPr>
                </pic:pic>
              </a:graphicData>
            </a:graphic>
          </wp:inline>
        </w:drawing>
      </w:r>
    </w:p>
    <w:p w14:paraId="0DCACF46">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Figure-5: Model used for our study</w:t>
      </w:r>
    </w:p>
    <w:p w14:paraId="0395F4D5">
      <w:pPr>
        <w:jc w:val="both"/>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cs="Times New Roman"/>
          <w:sz w:val="24"/>
          <w:szCs w:val="24"/>
        </w:rPr>
        <w:t>For test classification, we have got test loss 0.9833,</w:t>
      </w:r>
      <w:r>
        <w:rPr>
          <w:rFonts w:ascii="Times New Roman" w:hAnsi="Times New Roman" w:eastAsia="Times New Roman" w:cs="Times New Roman"/>
          <w:color w:val="3C4043"/>
          <w:sz w:val="24"/>
          <w:szCs w:val="24"/>
        </w:rPr>
        <w:t xml:space="preserve"> </w:t>
      </w:r>
      <w:r>
        <w:rPr>
          <w:rFonts w:ascii="Times New Roman" w:hAnsi="Times New Roman" w:eastAsia="Times New Roman" w:cs="Times New Roman"/>
          <w:color w:val="000000" w:themeColor="text1"/>
          <w:sz w:val="24"/>
          <w:szCs w:val="24"/>
          <w14:textFill>
            <w14:solidFill>
              <w14:schemeClr w14:val="tx1"/>
            </w14:solidFill>
          </w14:textFill>
        </w:rPr>
        <w:t>test accuracy 0.8095, test precision 0.8570, test recall 0.7640, test AUC 0.8960, test F1 Score 13.4369.</w:t>
      </w:r>
    </w:p>
    <w:p w14:paraId="58E94B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lang w:val="en-US"/>
          <w14:textFill>
            <w14:solidFill>
              <w14:schemeClr w14:val="tx1"/>
            </w14:solidFill>
          </w14:textFill>
        </w:rPr>
        <w:t>Classification</w:t>
      </w:r>
      <w:r>
        <w:rPr>
          <w:rFonts w:ascii="Times New Roman" w:hAnsi="Times New Roman" w:eastAsia="Times New Roman" w:cs="Times New Roman"/>
          <w:b/>
          <w:bCs/>
          <w:color w:val="000000" w:themeColor="text1"/>
          <w:sz w:val="24"/>
          <w:szCs w:val="24"/>
          <w14:textFill>
            <w14:solidFill>
              <w14:schemeClr w14:val="tx1"/>
            </w14:solidFill>
          </w14:textFill>
        </w:rPr>
        <w:t xml:space="preserve"> Report:</w:t>
      </w:r>
    </w:p>
    <w:p w14:paraId="094E1F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Times New Roman" w:hAnsi="Times New Roman" w:eastAsia="Times New Roman" w:cs="Times New Roman"/>
          <w:b/>
          <w:bCs/>
          <w:color w:val="000000" w:themeColor="text1"/>
          <w:sz w:val="24"/>
          <w:szCs w:val="24"/>
          <w14:textFill>
            <w14:solidFill>
              <w14:schemeClr w14:val="tx1"/>
            </w14:solidFill>
          </w14:textFill>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4"/>
        <w:gridCol w:w="934"/>
        <w:gridCol w:w="934"/>
        <w:gridCol w:w="947"/>
        <w:gridCol w:w="904"/>
      </w:tblGrid>
      <w:tr w14:paraId="44BDA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468655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Traits</w:t>
            </w:r>
          </w:p>
        </w:tc>
        <w:tc>
          <w:tcPr>
            <w:tcW w:w="1915" w:type="dxa"/>
          </w:tcPr>
          <w:p w14:paraId="0E202C5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Precision</w:t>
            </w:r>
          </w:p>
        </w:tc>
        <w:tc>
          <w:tcPr>
            <w:tcW w:w="1915" w:type="dxa"/>
          </w:tcPr>
          <w:p w14:paraId="4C256DC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Recall</w:t>
            </w:r>
          </w:p>
        </w:tc>
        <w:tc>
          <w:tcPr>
            <w:tcW w:w="1915" w:type="dxa"/>
          </w:tcPr>
          <w:p w14:paraId="7F528CF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f1- score</w:t>
            </w:r>
          </w:p>
        </w:tc>
        <w:tc>
          <w:tcPr>
            <w:tcW w:w="1916" w:type="dxa"/>
          </w:tcPr>
          <w:p w14:paraId="332E86E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Support</w:t>
            </w:r>
          </w:p>
        </w:tc>
      </w:tr>
      <w:tr w14:paraId="213A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3FB8B11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Healthy</w:t>
            </w:r>
          </w:p>
        </w:tc>
        <w:tc>
          <w:tcPr>
            <w:tcW w:w="1915" w:type="dxa"/>
          </w:tcPr>
          <w:p w14:paraId="57B9C94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0.78</w:t>
            </w:r>
          </w:p>
        </w:tc>
        <w:tc>
          <w:tcPr>
            <w:tcW w:w="1915" w:type="dxa"/>
          </w:tcPr>
          <w:p w14:paraId="7C7B42E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0.86</w:t>
            </w:r>
          </w:p>
        </w:tc>
        <w:tc>
          <w:tcPr>
            <w:tcW w:w="1915" w:type="dxa"/>
          </w:tcPr>
          <w:p w14:paraId="12B54C3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0.82</w:t>
            </w:r>
          </w:p>
        </w:tc>
        <w:tc>
          <w:tcPr>
            <w:tcW w:w="1916" w:type="dxa"/>
          </w:tcPr>
          <w:p w14:paraId="6F92C26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500</w:t>
            </w:r>
          </w:p>
        </w:tc>
      </w:tr>
      <w:tr w14:paraId="3A613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39DDA32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Glaucoma</w:t>
            </w:r>
          </w:p>
        </w:tc>
        <w:tc>
          <w:tcPr>
            <w:tcW w:w="1915" w:type="dxa"/>
          </w:tcPr>
          <w:p w14:paraId="40CF4BE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0.85</w:t>
            </w:r>
          </w:p>
        </w:tc>
        <w:tc>
          <w:tcPr>
            <w:tcW w:w="1915" w:type="dxa"/>
          </w:tcPr>
          <w:p w14:paraId="6562E07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0.75</w:t>
            </w:r>
          </w:p>
        </w:tc>
        <w:tc>
          <w:tcPr>
            <w:tcW w:w="1915" w:type="dxa"/>
          </w:tcPr>
          <w:p w14:paraId="7FF39B7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0.80</w:t>
            </w:r>
          </w:p>
        </w:tc>
        <w:tc>
          <w:tcPr>
            <w:tcW w:w="1916" w:type="dxa"/>
          </w:tcPr>
          <w:p w14:paraId="663918F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500</w:t>
            </w:r>
          </w:p>
        </w:tc>
      </w:tr>
      <w:tr w14:paraId="2052D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587CD4E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Accuracy</w:t>
            </w:r>
          </w:p>
        </w:tc>
        <w:tc>
          <w:tcPr>
            <w:tcW w:w="1915" w:type="dxa"/>
          </w:tcPr>
          <w:p w14:paraId="7B8BC18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Times New Roman" w:hAnsi="Times New Roman" w:eastAsia="Times New Roman" w:cs="Times New Roman"/>
                <w:color w:val="000000" w:themeColor="text1"/>
                <w:sz w:val="24"/>
                <w:szCs w:val="24"/>
                <w:vertAlign w:val="baseline"/>
                <w14:textFill>
                  <w14:solidFill>
                    <w14:schemeClr w14:val="tx1"/>
                  </w14:solidFill>
                </w14:textFill>
              </w:rPr>
            </w:pPr>
          </w:p>
        </w:tc>
        <w:tc>
          <w:tcPr>
            <w:tcW w:w="1915" w:type="dxa"/>
          </w:tcPr>
          <w:p w14:paraId="30B9F0CC">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Times New Roman" w:hAnsi="Times New Roman" w:eastAsia="Times New Roman" w:cs="Times New Roman"/>
                <w:color w:val="000000" w:themeColor="text1"/>
                <w:sz w:val="24"/>
                <w:szCs w:val="24"/>
                <w:vertAlign w:val="baseline"/>
                <w14:textFill>
                  <w14:solidFill>
                    <w14:schemeClr w14:val="tx1"/>
                  </w14:solidFill>
                </w14:textFill>
              </w:rPr>
            </w:pPr>
          </w:p>
        </w:tc>
        <w:tc>
          <w:tcPr>
            <w:tcW w:w="1915" w:type="dxa"/>
          </w:tcPr>
          <w:p w14:paraId="6AE2C23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0.81</w:t>
            </w:r>
          </w:p>
        </w:tc>
        <w:tc>
          <w:tcPr>
            <w:tcW w:w="1916" w:type="dxa"/>
          </w:tcPr>
          <w:p w14:paraId="723461C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1000</w:t>
            </w:r>
          </w:p>
        </w:tc>
      </w:tr>
      <w:tr w14:paraId="44F8A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BE6D6B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Macro avg</w:t>
            </w:r>
          </w:p>
        </w:tc>
        <w:tc>
          <w:tcPr>
            <w:tcW w:w="1915" w:type="dxa"/>
          </w:tcPr>
          <w:p w14:paraId="56A2882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0.81</w:t>
            </w:r>
          </w:p>
        </w:tc>
        <w:tc>
          <w:tcPr>
            <w:tcW w:w="1915" w:type="dxa"/>
          </w:tcPr>
          <w:p w14:paraId="35FD481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0.81</w:t>
            </w:r>
          </w:p>
        </w:tc>
        <w:tc>
          <w:tcPr>
            <w:tcW w:w="1915" w:type="dxa"/>
          </w:tcPr>
          <w:p w14:paraId="1547527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0.81</w:t>
            </w:r>
          </w:p>
        </w:tc>
        <w:tc>
          <w:tcPr>
            <w:tcW w:w="1916" w:type="dxa"/>
          </w:tcPr>
          <w:p w14:paraId="01CD8DD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1000</w:t>
            </w:r>
          </w:p>
        </w:tc>
      </w:tr>
      <w:tr w14:paraId="3A49D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1371BFE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Weighted avg</w:t>
            </w:r>
          </w:p>
        </w:tc>
        <w:tc>
          <w:tcPr>
            <w:tcW w:w="1915" w:type="dxa"/>
          </w:tcPr>
          <w:p w14:paraId="096171BF">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0.81</w:t>
            </w:r>
          </w:p>
        </w:tc>
        <w:tc>
          <w:tcPr>
            <w:tcW w:w="1915" w:type="dxa"/>
          </w:tcPr>
          <w:p w14:paraId="040E66E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0.81</w:t>
            </w:r>
          </w:p>
        </w:tc>
        <w:tc>
          <w:tcPr>
            <w:tcW w:w="1915" w:type="dxa"/>
          </w:tcPr>
          <w:p w14:paraId="345662A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0.81</w:t>
            </w:r>
          </w:p>
        </w:tc>
        <w:tc>
          <w:tcPr>
            <w:tcW w:w="1916" w:type="dxa"/>
          </w:tcPr>
          <w:p w14:paraId="7806C17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1000</w:t>
            </w:r>
          </w:p>
        </w:tc>
      </w:tr>
    </w:tbl>
    <w:p w14:paraId="549E47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lang w:val="en-US"/>
          <w14:textFill>
            <w14:solidFill>
              <w14:schemeClr w14:val="tx1"/>
            </w14:solidFill>
          </w14:textFill>
        </w:rPr>
      </w:pPr>
    </w:p>
    <w:p w14:paraId="51D1E0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Table-1: Test classification report</w:t>
      </w:r>
    </w:p>
    <w:p w14:paraId="7FF1B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Times New Roman" w:hAnsi="Times New Roman" w:eastAsia="Times New Roman" w:cs="Times New Roman"/>
          <w:color w:val="000000" w:themeColor="text1"/>
          <w:sz w:val="24"/>
          <w:szCs w:val="24"/>
          <w14:textFill>
            <w14:solidFill>
              <w14:schemeClr w14:val="tx1"/>
            </w14:solidFill>
          </w14:textFill>
        </w:rPr>
      </w:pPr>
    </w:p>
    <w:p w14:paraId="71E6214D">
      <w:pPr>
        <w:jc w:val="both"/>
        <w:rPr>
          <w:rFonts w:ascii="Times New Roman" w:hAnsi="Times New Roman" w:cs="Times New Roman"/>
          <w:sz w:val="24"/>
          <w:szCs w:val="24"/>
        </w:rPr>
      </w:pPr>
    </w:p>
    <w:p w14:paraId="00DEA2AB">
      <w:pPr>
        <w:jc w:val="both"/>
        <w:rPr>
          <w:rFonts w:ascii="Times New Roman" w:hAnsi="Times New Roman" w:cs="Times New Roman"/>
          <w:sz w:val="24"/>
          <w:szCs w:val="24"/>
        </w:rPr>
      </w:pPr>
    </w:p>
    <w:p w14:paraId="47009E95">
      <w:pPr>
        <w:jc w:val="both"/>
        <w:rPr>
          <w:rFonts w:ascii="Times New Roman" w:hAnsi="Times New Roman" w:cs="Times New Roman"/>
          <w:sz w:val="24"/>
          <w:szCs w:val="24"/>
        </w:rPr>
      </w:pPr>
      <w:r>
        <w:rPr>
          <w:rFonts w:ascii="Times New Roman" w:hAnsi="Times New Roman" w:cs="Times New Roman"/>
          <w:sz w:val="24"/>
          <w:szCs w:val="24"/>
        </w:rPr>
        <w:t xml:space="preserve">For Validation classification, we have got </w:t>
      </w:r>
      <w:bookmarkStart w:id="0" w:name="_Hlk204203358"/>
      <w:r>
        <w:rPr>
          <w:rFonts w:ascii="Times New Roman" w:hAnsi="Times New Roman" w:cs="Times New Roman"/>
          <w:sz w:val="24"/>
          <w:szCs w:val="24"/>
        </w:rPr>
        <w:t>validation</w:t>
      </w:r>
      <w:bookmarkEnd w:id="0"/>
      <w:r>
        <w:rPr>
          <w:rFonts w:ascii="Times New Roman" w:hAnsi="Times New Roman" w:cs="Times New Roman"/>
          <w:sz w:val="24"/>
          <w:szCs w:val="24"/>
        </w:rPr>
        <w:t xml:space="preserve"> loss 0.9346,</w:t>
      </w:r>
      <w:r>
        <w:rPr>
          <w:rFonts w:ascii="Times New Roman" w:hAnsi="Times New Roman" w:eastAsia="Times New Roman" w:cs="Times New Roman"/>
          <w:color w:val="3C4043"/>
          <w:sz w:val="24"/>
          <w:szCs w:val="24"/>
        </w:rPr>
        <w:t xml:space="preserve"> </w:t>
      </w:r>
      <w:r>
        <w:rPr>
          <w:rFonts w:ascii="Times New Roman" w:hAnsi="Times New Roman" w:cs="Times New Roman"/>
          <w:sz w:val="24"/>
          <w:szCs w:val="24"/>
        </w:rPr>
        <w:t xml:space="preserve">validation </w:t>
      </w:r>
      <w:r>
        <w:rPr>
          <w:rFonts w:ascii="Times New Roman" w:hAnsi="Times New Roman" w:eastAsia="Times New Roman" w:cs="Times New Roman"/>
          <w:color w:val="000000" w:themeColor="text1"/>
          <w:sz w:val="24"/>
          <w:szCs w:val="24"/>
          <w14:textFill>
            <w14:solidFill>
              <w14:schemeClr w14:val="tx1"/>
            </w14:solidFill>
          </w14:textFill>
        </w:rPr>
        <w:t xml:space="preserve">accuracy 0.8375, </w:t>
      </w:r>
      <w:r>
        <w:rPr>
          <w:rFonts w:ascii="Times New Roman" w:hAnsi="Times New Roman" w:cs="Times New Roman"/>
          <w:sz w:val="24"/>
          <w:szCs w:val="24"/>
        </w:rPr>
        <w:t xml:space="preserve">validation </w:t>
      </w:r>
      <w:r>
        <w:rPr>
          <w:rFonts w:ascii="Times New Roman" w:hAnsi="Times New Roman" w:eastAsia="Times New Roman" w:cs="Times New Roman"/>
          <w:color w:val="000000" w:themeColor="text1"/>
          <w:sz w:val="24"/>
          <w:szCs w:val="24"/>
          <w14:textFill>
            <w14:solidFill>
              <w14:schemeClr w14:val="tx1"/>
            </w14:solidFill>
          </w14:textFill>
        </w:rPr>
        <w:t xml:space="preserve">precision 0.8566, </w:t>
      </w:r>
      <w:r>
        <w:rPr>
          <w:rFonts w:ascii="Times New Roman" w:hAnsi="Times New Roman" w:cs="Times New Roman"/>
          <w:sz w:val="24"/>
          <w:szCs w:val="24"/>
        </w:rPr>
        <w:t>validation</w:t>
      </w:r>
      <w:r>
        <w:rPr>
          <w:rFonts w:ascii="Times New Roman" w:hAnsi="Times New Roman" w:eastAsia="Times New Roman" w:cs="Times New Roman"/>
          <w:color w:val="000000" w:themeColor="text1"/>
          <w:sz w:val="24"/>
          <w:szCs w:val="24"/>
          <w14:textFill>
            <w14:solidFill>
              <w14:schemeClr w14:val="tx1"/>
            </w14:solidFill>
          </w14:textFill>
        </w:rPr>
        <w:t xml:space="preserve"> recall 0.8100, </w:t>
      </w:r>
      <w:r>
        <w:rPr>
          <w:rFonts w:ascii="Times New Roman" w:hAnsi="Times New Roman" w:cs="Times New Roman"/>
          <w:sz w:val="24"/>
          <w:szCs w:val="24"/>
        </w:rPr>
        <w:t xml:space="preserve">validation </w:t>
      </w:r>
      <w:r>
        <w:rPr>
          <w:rFonts w:ascii="Times New Roman" w:hAnsi="Times New Roman" w:eastAsia="Times New Roman" w:cs="Times New Roman"/>
          <w:color w:val="000000" w:themeColor="text1"/>
          <w:sz w:val="24"/>
          <w:szCs w:val="24"/>
          <w14:textFill>
            <w14:solidFill>
              <w14:schemeClr w14:val="tx1"/>
            </w14:solidFill>
          </w14:textFill>
        </w:rPr>
        <w:t xml:space="preserve">AUC 0.9205,  </w:t>
      </w:r>
      <w:r>
        <w:rPr>
          <w:rFonts w:ascii="Times New Roman" w:hAnsi="Times New Roman" w:cs="Times New Roman"/>
          <w:sz w:val="24"/>
          <w:szCs w:val="24"/>
        </w:rPr>
        <w:t xml:space="preserve">validation </w:t>
      </w:r>
      <w:r>
        <w:rPr>
          <w:rFonts w:ascii="Times New Roman" w:hAnsi="Times New Roman" w:eastAsia="Times New Roman" w:cs="Times New Roman"/>
          <w:color w:val="000000" w:themeColor="text1"/>
          <w:sz w:val="24"/>
          <w:szCs w:val="24"/>
          <w14:textFill>
            <w14:solidFill>
              <w14:schemeClr w14:val="tx1"/>
            </w14:solidFill>
          </w14:textFill>
        </w:rPr>
        <w:t>F1 Score 13.8001.</w:t>
      </w:r>
    </w:p>
    <w:p w14:paraId="7DFD5B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Classification Report</w:t>
      </w: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w:t>
      </w:r>
    </w:p>
    <w:p w14:paraId="59D040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Times New Roman" w:hAnsi="Times New Roman" w:eastAsia="Times New Roman" w:cs="Times New Roman"/>
          <w:b/>
          <w:bCs/>
          <w:color w:val="000000" w:themeColor="text1"/>
          <w:sz w:val="24"/>
          <w:szCs w:val="24"/>
          <w14:textFill>
            <w14:solidFill>
              <w14:schemeClr w14:val="tx1"/>
            </w14:solidFill>
          </w14:textFill>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4"/>
        <w:gridCol w:w="934"/>
        <w:gridCol w:w="934"/>
        <w:gridCol w:w="947"/>
        <w:gridCol w:w="904"/>
      </w:tblGrid>
      <w:tr w14:paraId="758C2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1B8E07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Traits</w:t>
            </w:r>
          </w:p>
        </w:tc>
        <w:tc>
          <w:tcPr>
            <w:tcW w:w="1915" w:type="dxa"/>
          </w:tcPr>
          <w:p w14:paraId="24B0FB7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Precision</w:t>
            </w:r>
          </w:p>
        </w:tc>
        <w:tc>
          <w:tcPr>
            <w:tcW w:w="1915" w:type="dxa"/>
          </w:tcPr>
          <w:p w14:paraId="03350B3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Recall</w:t>
            </w:r>
          </w:p>
        </w:tc>
        <w:tc>
          <w:tcPr>
            <w:tcW w:w="1915" w:type="dxa"/>
          </w:tcPr>
          <w:p w14:paraId="468D56B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f1- score</w:t>
            </w:r>
          </w:p>
        </w:tc>
        <w:tc>
          <w:tcPr>
            <w:tcW w:w="1916" w:type="dxa"/>
          </w:tcPr>
          <w:p w14:paraId="73F417A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Support</w:t>
            </w:r>
          </w:p>
        </w:tc>
      </w:tr>
      <w:tr w14:paraId="2D485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46B7302">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Healthy</w:t>
            </w:r>
          </w:p>
        </w:tc>
        <w:tc>
          <w:tcPr>
            <w:tcW w:w="1915" w:type="dxa"/>
          </w:tcPr>
          <w:p w14:paraId="40940A4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0.81</w:t>
            </w:r>
          </w:p>
        </w:tc>
        <w:tc>
          <w:tcPr>
            <w:tcW w:w="1915" w:type="dxa"/>
          </w:tcPr>
          <w:p w14:paraId="615BA33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0.85</w:t>
            </w:r>
          </w:p>
        </w:tc>
        <w:tc>
          <w:tcPr>
            <w:tcW w:w="1915" w:type="dxa"/>
          </w:tcPr>
          <w:p w14:paraId="1172ABC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0.83</w:t>
            </w:r>
          </w:p>
        </w:tc>
        <w:tc>
          <w:tcPr>
            <w:tcW w:w="1916" w:type="dxa"/>
          </w:tcPr>
          <w:p w14:paraId="680E6FE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200</w:t>
            </w:r>
          </w:p>
        </w:tc>
      </w:tr>
      <w:tr w14:paraId="74201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36383746">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Glaucoma</w:t>
            </w:r>
          </w:p>
        </w:tc>
        <w:tc>
          <w:tcPr>
            <w:tcW w:w="1915" w:type="dxa"/>
          </w:tcPr>
          <w:p w14:paraId="21C682CA">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0.85</w:t>
            </w:r>
          </w:p>
        </w:tc>
        <w:tc>
          <w:tcPr>
            <w:tcW w:w="1915" w:type="dxa"/>
          </w:tcPr>
          <w:p w14:paraId="38AD1A4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0.80</w:t>
            </w:r>
          </w:p>
        </w:tc>
        <w:tc>
          <w:tcPr>
            <w:tcW w:w="1915" w:type="dxa"/>
          </w:tcPr>
          <w:p w14:paraId="3E649E5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0.82</w:t>
            </w:r>
          </w:p>
        </w:tc>
        <w:tc>
          <w:tcPr>
            <w:tcW w:w="1916" w:type="dxa"/>
          </w:tcPr>
          <w:p w14:paraId="3EDA0B71">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200</w:t>
            </w:r>
          </w:p>
        </w:tc>
      </w:tr>
      <w:tr w14:paraId="155E1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6173329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Accuracy</w:t>
            </w:r>
          </w:p>
        </w:tc>
        <w:tc>
          <w:tcPr>
            <w:tcW w:w="1915" w:type="dxa"/>
          </w:tcPr>
          <w:p w14:paraId="305F491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Times New Roman" w:hAnsi="Times New Roman" w:eastAsia="Times New Roman" w:cs="Times New Roman"/>
                <w:color w:val="000000" w:themeColor="text1"/>
                <w:sz w:val="24"/>
                <w:szCs w:val="24"/>
                <w:vertAlign w:val="baseline"/>
                <w14:textFill>
                  <w14:solidFill>
                    <w14:schemeClr w14:val="tx1"/>
                  </w14:solidFill>
                </w14:textFill>
              </w:rPr>
            </w:pPr>
          </w:p>
        </w:tc>
        <w:tc>
          <w:tcPr>
            <w:tcW w:w="1915" w:type="dxa"/>
          </w:tcPr>
          <w:p w14:paraId="0B83D46B">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Times New Roman" w:hAnsi="Times New Roman" w:eastAsia="Times New Roman" w:cs="Times New Roman"/>
                <w:color w:val="000000" w:themeColor="text1"/>
                <w:sz w:val="24"/>
                <w:szCs w:val="24"/>
                <w:vertAlign w:val="baseline"/>
                <w14:textFill>
                  <w14:solidFill>
                    <w14:schemeClr w14:val="tx1"/>
                  </w14:solidFill>
                </w14:textFill>
              </w:rPr>
            </w:pPr>
          </w:p>
        </w:tc>
        <w:tc>
          <w:tcPr>
            <w:tcW w:w="1915" w:type="dxa"/>
          </w:tcPr>
          <w:p w14:paraId="1338E4B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0.83</w:t>
            </w:r>
          </w:p>
        </w:tc>
        <w:tc>
          <w:tcPr>
            <w:tcW w:w="1916" w:type="dxa"/>
          </w:tcPr>
          <w:p w14:paraId="7FFAB3DC">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400</w:t>
            </w:r>
          </w:p>
        </w:tc>
      </w:tr>
      <w:tr w14:paraId="57B81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5567E0D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Macro avg</w:t>
            </w:r>
          </w:p>
        </w:tc>
        <w:tc>
          <w:tcPr>
            <w:tcW w:w="1915" w:type="dxa"/>
          </w:tcPr>
          <w:p w14:paraId="7DD2BBD4">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0.83</w:t>
            </w:r>
          </w:p>
        </w:tc>
        <w:tc>
          <w:tcPr>
            <w:tcW w:w="1915" w:type="dxa"/>
          </w:tcPr>
          <w:p w14:paraId="2E974895">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0.83</w:t>
            </w:r>
          </w:p>
        </w:tc>
        <w:tc>
          <w:tcPr>
            <w:tcW w:w="1915" w:type="dxa"/>
          </w:tcPr>
          <w:p w14:paraId="1C1DC14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0.83</w:t>
            </w:r>
          </w:p>
        </w:tc>
        <w:tc>
          <w:tcPr>
            <w:tcW w:w="1916" w:type="dxa"/>
          </w:tcPr>
          <w:p w14:paraId="678EB82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400</w:t>
            </w:r>
          </w:p>
        </w:tc>
      </w:tr>
      <w:tr w14:paraId="7EC8C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420D75C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Weighted avg</w:t>
            </w:r>
          </w:p>
        </w:tc>
        <w:tc>
          <w:tcPr>
            <w:tcW w:w="1915" w:type="dxa"/>
          </w:tcPr>
          <w:p w14:paraId="296AA93E">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0.83</w:t>
            </w:r>
          </w:p>
        </w:tc>
        <w:tc>
          <w:tcPr>
            <w:tcW w:w="1915" w:type="dxa"/>
          </w:tcPr>
          <w:p w14:paraId="596F3B8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0.83</w:t>
            </w:r>
          </w:p>
        </w:tc>
        <w:tc>
          <w:tcPr>
            <w:tcW w:w="1915" w:type="dxa"/>
          </w:tcPr>
          <w:p w14:paraId="1CDF4568">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0.83</w:t>
            </w:r>
          </w:p>
        </w:tc>
        <w:tc>
          <w:tcPr>
            <w:tcW w:w="1916" w:type="dxa"/>
          </w:tcPr>
          <w:p w14:paraId="0D166AD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cs="Times New Roman"/>
                <w:color w:val="000000" w:themeColor="text1"/>
                <w:sz w:val="24"/>
                <w:szCs w:val="24"/>
                <w:vertAlign w:val="baseline"/>
                <w:lang w:val="en-US"/>
                <w14:textFill>
                  <w14:solidFill>
                    <w14:schemeClr w14:val="tx1"/>
                  </w14:solidFill>
                </w14:textFill>
              </w:rPr>
              <w:t>400</w:t>
            </w:r>
          </w:p>
        </w:tc>
      </w:tr>
    </w:tbl>
    <w:p w14:paraId="022E17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lang w:val="en-US"/>
          <w14:textFill>
            <w14:solidFill>
              <w14:schemeClr w14:val="tx1"/>
            </w14:solidFill>
          </w14:textFill>
        </w:rPr>
      </w:pPr>
    </w:p>
    <w:p w14:paraId="52ECA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Table-2: Validation Classification Report</w:t>
      </w:r>
    </w:p>
    <w:p w14:paraId="5CC6A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jc w:val="both"/>
        <w:textAlignment w:val="baseline"/>
        <w:rPr>
          <w:rFonts w:ascii="Times New Roman" w:hAnsi="Times New Roman" w:eastAsia="Times New Roman" w:cs="Times New Roman"/>
          <w:color w:val="000000" w:themeColor="text1"/>
          <w:sz w:val="24"/>
          <w:szCs w:val="24"/>
          <w14:textFill>
            <w14:solidFill>
              <w14:schemeClr w14:val="tx1"/>
            </w14:solidFill>
          </w14:textFill>
        </w:rPr>
      </w:pPr>
    </w:p>
    <w:p w14:paraId="28425B0C">
      <w:pPr>
        <w:jc w:val="both"/>
      </w:pPr>
    </w:p>
    <w:p w14:paraId="0AEE52A0">
      <w:pPr>
        <w:jc w:val="both"/>
        <w:rPr>
          <w:rFonts w:hint="default" w:ascii="Times New Roman" w:hAnsi="Times New Roman" w:cs="Times New Roman"/>
          <w:sz w:val="24"/>
          <w:szCs w:val="24"/>
        </w:rPr>
      </w:pPr>
      <w:r>
        <w:rPr>
          <w:rFonts w:hint="default" w:ascii="Times New Roman" w:hAnsi="Times New Roman" w:cs="Times New Roman"/>
          <w:sz w:val="24"/>
          <w:szCs w:val="24"/>
        </w:rPr>
        <w:t>ROC (Receiver Operating Characteristic) Curve includes False Positive Rate (FPR) at x-axis, True Positive Rate (TPR) at Y-axis:</w:t>
      </w:r>
    </w:p>
    <w:p w14:paraId="54588ACC">
      <w:pPr>
        <w:jc w:val="both"/>
      </w:pPr>
      <w:r>
        <w:drawing>
          <wp:inline distT="0" distB="0" distL="0" distR="0">
            <wp:extent cx="3361690" cy="3200400"/>
            <wp:effectExtent l="0" t="0" r="1016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361690" cy="3200852"/>
                    </a:xfrm>
                    <a:prstGeom prst="rect">
                      <a:avLst/>
                    </a:prstGeom>
                  </pic:spPr>
                </pic:pic>
              </a:graphicData>
            </a:graphic>
          </wp:inline>
        </w:drawing>
      </w:r>
    </w:p>
    <w:p w14:paraId="05D512B5">
      <w:pPr>
        <w:jc w:val="both"/>
      </w:pPr>
      <w:r>
        <w:rPr>
          <w:rFonts w:hint="default" w:ascii="Times New Roman" w:hAnsi="Times New Roman" w:cs="Times New Roman"/>
          <w:sz w:val="24"/>
          <w:szCs w:val="24"/>
          <w:lang w:val="en-US"/>
        </w:rPr>
        <w:t>Figure-6: Receiver Operating Characteristic (ROC) curve</w:t>
      </w:r>
    </w:p>
    <w:p w14:paraId="645E35F8">
      <w:pPr>
        <w:jc w:val="both"/>
      </w:pPr>
    </w:p>
    <w:p w14:paraId="71FC3592">
      <w:pPr>
        <w:jc w:val="both"/>
      </w:pPr>
      <w:r>
        <w:rPr>
          <w:rFonts w:hint="default" w:ascii="Times New Roman" w:hAnsi="Times New Roman" w:cs="Times New Roman"/>
          <w:b/>
          <w:bCs/>
          <w:sz w:val="24"/>
          <w:szCs w:val="24"/>
        </w:rPr>
        <w:t>Confusion Matrix, which indicates healthy and glaucoma:</w:t>
      </w:r>
    </w:p>
    <w:p w14:paraId="264C8F0E">
      <w:pPr>
        <w:jc w:val="both"/>
      </w:pPr>
    </w:p>
    <w:p w14:paraId="6C8B22C4">
      <w:pPr>
        <w:jc w:val="both"/>
      </w:pPr>
      <w:r>
        <w:drawing>
          <wp:inline distT="0" distB="0" distL="0" distR="0">
            <wp:extent cx="2790190" cy="2724150"/>
            <wp:effectExtent l="0" t="0" r="1016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790190" cy="2724532"/>
                    </a:xfrm>
                    <a:prstGeom prst="rect">
                      <a:avLst/>
                    </a:prstGeom>
                  </pic:spPr>
                </pic:pic>
              </a:graphicData>
            </a:graphic>
          </wp:inline>
        </w:drawing>
      </w:r>
    </w:p>
    <w:p w14:paraId="22DAE916">
      <w:pPr>
        <w:ind w:firstLine="1200" w:firstLineChars="50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Figure-7: Confusion Matrix</w:t>
      </w:r>
    </w:p>
    <w:p w14:paraId="79FE247A">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Training, Validation and Test Loss- where red is for test loss, green is for validation loss, blue is for test loss: </w:t>
      </w:r>
    </w:p>
    <w:p w14:paraId="47CD5EDC">
      <w:pPr>
        <w:jc w:val="both"/>
      </w:pPr>
      <w:r>
        <w:drawing>
          <wp:inline distT="0" distB="0" distL="0" distR="0">
            <wp:extent cx="2844800" cy="3957955"/>
            <wp:effectExtent l="0" t="0" r="1270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844800" cy="3957955"/>
                    </a:xfrm>
                    <a:prstGeom prst="rect">
                      <a:avLst/>
                    </a:prstGeom>
                  </pic:spPr>
                </pic:pic>
              </a:graphicData>
            </a:graphic>
          </wp:inline>
        </w:drawing>
      </w:r>
    </w:p>
    <w:p w14:paraId="7F0D9590">
      <w:pPr>
        <w:jc w:val="both"/>
      </w:pPr>
      <w:r>
        <w:rPr>
          <w:rFonts w:hint="default" w:ascii="Times New Roman" w:hAnsi="Times New Roman" w:cs="Times New Roman"/>
          <w:sz w:val="24"/>
          <w:szCs w:val="24"/>
          <w:lang w:val="en-US"/>
        </w:rPr>
        <w:t>Figure-8: Training, Validation, and Test Loss</w:t>
      </w:r>
    </w:p>
    <w:p w14:paraId="2C6A8296">
      <w:pPr>
        <w:jc w:val="both"/>
        <w:rPr>
          <w:rFonts w:hint="default" w:ascii="Times New Roman" w:hAnsi="Times New Roman" w:cs="Times New Roman"/>
          <w:sz w:val="24"/>
          <w:szCs w:val="24"/>
        </w:rPr>
      </w:pPr>
    </w:p>
    <w:p w14:paraId="29AD4C73">
      <w:pPr>
        <w:jc w:val="both"/>
        <w:rPr>
          <w:rFonts w:hint="default" w:ascii="Times New Roman" w:hAnsi="Times New Roman" w:cs="Times New Roman"/>
          <w:sz w:val="24"/>
          <w:szCs w:val="24"/>
        </w:rPr>
      </w:pPr>
      <w:r>
        <w:rPr>
          <w:rFonts w:hint="default" w:ascii="Times New Roman" w:hAnsi="Times New Roman" w:cs="Times New Roman"/>
          <w:sz w:val="24"/>
          <w:szCs w:val="24"/>
        </w:rPr>
        <w:t>Training, Validation and Test Accuracy- where orange is for test accuracy, blue is for validation accuracy, purple is for test accuracy:</w:t>
      </w:r>
    </w:p>
    <w:p w14:paraId="3CD079D7">
      <w:pPr>
        <w:jc w:val="both"/>
      </w:pPr>
    </w:p>
    <w:p w14:paraId="499EB324">
      <w:pPr>
        <w:jc w:val="both"/>
      </w:pPr>
      <w:r>
        <w:drawing>
          <wp:inline distT="0" distB="0" distL="0" distR="0">
            <wp:extent cx="3427730" cy="411480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427730" cy="4141935"/>
                    </a:xfrm>
                    <a:prstGeom prst="rect">
                      <a:avLst/>
                    </a:prstGeom>
                  </pic:spPr>
                </pic:pic>
              </a:graphicData>
            </a:graphic>
          </wp:inline>
        </w:drawing>
      </w:r>
    </w:p>
    <w:p w14:paraId="2E7F03C1">
      <w:pPr>
        <w:jc w:val="both"/>
      </w:pPr>
    </w:p>
    <w:p w14:paraId="58F61F05">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Figure-9</w:t>
      </w:r>
      <w:bookmarkStart w:id="1" w:name="_GoBack"/>
      <w:bookmarkEnd w:id="1"/>
      <w:r>
        <w:rPr>
          <w:rFonts w:hint="default" w:ascii="Times New Roman" w:hAnsi="Times New Roman" w:cs="Times New Roman"/>
          <w:sz w:val="24"/>
          <w:szCs w:val="24"/>
          <w:lang w:val="en-US"/>
        </w:rPr>
        <w:t>: Training, Validation and Test Accuracy</w:t>
      </w:r>
    </w:p>
    <w:p w14:paraId="2249CB21">
      <w:pPr>
        <w:jc w:val="both"/>
        <w:rPr>
          <w:sz w:val="24"/>
          <w:szCs w:val="24"/>
        </w:rPr>
      </w:pPr>
    </w:p>
    <w:p w14:paraId="2F87D700">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We study about glaucoma detection using Machine Learning. We have took training, validation and testing data. We use </w:t>
      </w:r>
      <w:r>
        <w:rPr>
          <w:rFonts w:hint="default" w:ascii="Times New Roman" w:hAnsi="Times New Roman" w:cs="Times New Roman"/>
          <w:sz w:val="24"/>
          <w:szCs w:val="24"/>
          <w:lang w:val="en-US"/>
        </w:rPr>
        <w:t>CNN architecture</w:t>
      </w:r>
      <w:r>
        <w:rPr>
          <w:rFonts w:hint="default" w:ascii="Times New Roman" w:hAnsi="Times New Roman" w:cs="Times New Roman"/>
          <w:sz w:val="24"/>
          <w:szCs w:val="24"/>
        </w:rPr>
        <w:t xml:space="preserve"> to detect the glaucoma</w:t>
      </w:r>
      <w:r>
        <w:rPr>
          <w:rFonts w:hint="default" w:ascii="Times New Roman" w:hAnsi="Times New Roman" w:cs="Times New Roman"/>
          <w:sz w:val="24"/>
          <w:szCs w:val="24"/>
          <w:lang w:val="en-US"/>
        </w:rPr>
        <w:t xml:space="preserve"> and healthy eye</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In our study, w</w:t>
      </w:r>
      <w:r>
        <w:rPr>
          <w:rFonts w:ascii="Times New Roman" w:hAnsi="Times New Roman" w:cs="Times New Roman"/>
          <w:sz w:val="24"/>
          <w:szCs w:val="24"/>
        </w:rPr>
        <w:t>e have got test loss 0.9833,</w:t>
      </w:r>
      <w:r>
        <w:rPr>
          <w:rFonts w:ascii="Times New Roman" w:hAnsi="Times New Roman" w:eastAsia="Times New Roman" w:cs="Times New Roman"/>
          <w:color w:val="3C4043"/>
          <w:sz w:val="24"/>
          <w:szCs w:val="24"/>
        </w:rPr>
        <w:t xml:space="preserve"> </w:t>
      </w:r>
      <w:r>
        <w:rPr>
          <w:rFonts w:ascii="Times New Roman" w:hAnsi="Times New Roman" w:eastAsia="Times New Roman" w:cs="Times New Roman"/>
          <w:color w:val="000000" w:themeColor="text1"/>
          <w:sz w:val="24"/>
          <w:szCs w:val="24"/>
          <w14:textFill>
            <w14:solidFill>
              <w14:schemeClr w14:val="tx1"/>
            </w14:solidFill>
          </w14:textFill>
        </w:rPr>
        <w:t>test accuracy 0.8095, test precision 0.8570, test recall 0.7640, test AUC 0.8960, test F1 Score 13.4369</w:t>
      </w:r>
      <w:r>
        <w:rPr>
          <w:rFonts w:hint="default" w:ascii="Times New Roman" w:hAnsi="Times New Roman" w:eastAsia="Times New Roman" w:cs="Times New Roman"/>
          <w:color w:val="000000" w:themeColor="text1"/>
          <w:sz w:val="24"/>
          <w:szCs w:val="24"/>
          <w:lang w:val="en-US"/>
          <w14:textFill>
            <w14:solidFill>
              <w14:schemeClr w14:val="tx1"/>
            </w14:solidFill>
          </w14:textFill>
        </w:rPr>
        <w:t>,</w:t>
      </w:r>
      <w:r>
        <w:rPr>
          <w:rStyle w:val="9"/>
          <w:rFonts w:hint="default" w:ascii="Times New Roman" w:hAnsi="Times New Roman" w:eastAsia="SimSun" w:cs="Times New Roman"/>
          <w:b w:val="0"/>
          <w:bCs w:val="0"/>
          <w:sz w:val="24"/>
          <w:szCs w:val="24"/>
          <w:lang w:val="en-US"/>
        </w:rPr>
        <w:t xml:space="preserve">  validation loss 0.9346, validation accuracy 0.8375, validation precision 0.8566, validation recall 0.8100, validation AUC 0.9205, validation F1 Score 13.8001.</w:t>
      </w:r>
    </w:p>
    <w:p w14:paraId="74952F41">
      <w:pPr>
        <w:jc w:val="both"/>
      </w:pPr>
    </w:p>
    <w:p w14:paraId="15EF1B03">
      <w:pPr>
        <w:jc w:val="both"/>
        <w:rPr>
          <w:b/>
          <w:bCs/>
          <w:sz w:val="28"/>
          <w:szCs w:val="28"/>
        </w:rPr>
      </w:pPr>
    </w:p>
    <w:p w14:paraId="199D8B1C">
      <w:pPr>
        <w:pStyle w:val="2"/>
        <w:keepNext w:val="0"/>
        <w:keepLines w:val="0"/>
        <w:widowControl/>
        <w:suppressLineNumbers w:val="0"/>
        <w:jc w:val="both"/>
        <w:rPr>
          <w:rFonts w:hint="default" w:ascii="Times New Roman" w:hAnsi="Times New Roman" w:cs="Times New Roman"/>
          <w:sz w:val="36"/>
          <w:szCs w:val="36"/>
        </w:rPr>
      </w:pPr>
      <w:r>
        <w:rPr>
          <w:rStyle w:val="9"/>
          <w:rFonts w:hint="default" w:ascii="Times New Roman" w:hAnsi="Times New Roman" w:cs="Times New Roman"/>
          <w:b/>
          <w:bCs/>
          <w:sz w:val="36"/>
          <w:szCs w:val="36"/>
        </w:rPr>
        <w:t>Discussion</w:t>
      </w:r>
    </w:p>
    <w:p w14:paraId="5040ED57">
      <w:pPr>
        <w:pStyle w:val="8"/>
        <w:keepNext w:val="0"/>
        <w:keepLines w:val="0"/>
        <w:widowControl/>
        <w:suppressLineNumbers w:val="0"/>
        <w:jc w:val="both"/>
        <w:rPr>
          <w:rFonts w:hint="default" w:ascii="Times New Roman" w:hAnsi="Times New Roman" w:cs="Times New Roman"/>
          <w:sz w:val="24"/>
          <w:szCs w:val="24"/>
          <w:lang w:val="en-US"/>
        </w:rPr>
      </w:pPr>
      <w:r>
        <w:rPr>
          <w:rFonts w:hint="default" w:ascii="Times New Roman" w:hAnsi="Times New Roman" w:cs="Times New Roman"/>
          <w:sz w:val="24"/>
          <w:szCs w:val="24"/>
        </w:rPr>
        <w:t>The application of deep learning</w:t>
      </w:r>
      <w:r>
        <w:rPr>
          <w:rFonts w:hint="default" w:cs="Times New Roman"/>
          <w:sz w:val="24"/>
          <w:szCs w:val="24"/>
          <w:lang w:val="en-US"/>
        </w:rPr>
        <w:t xml:space="preserve"> like </w:t>
      </w:r>
      <w:r>
        <w:rPr>
          <w:rFonts w:hint="default" w:ascii="Times New Roman" w:hAnsi="Times New Roman" w:cs="Times New Roman"/>
          <w:sz w:val="24"/>
          <w:szCs w:val="24"/>
        </w:rPr>
        <w:t>convolutional neural networks (CNNs)</w:t>
      </w:r>
      <w:r>
        <w:rPr>
          <w:rFonts w:hint="default" w:cs="Times New Roman"/>
          <w:sz w:val="24"/>
          <w:szCs w:val="24"/>
          <w:lang w:val="en-US"/>
        </w:rPr>
        <w:t xml:space="preserve"> has been advanced in</w:t>
      </w:r>
      <w:r>
        <w:rPr>
          <w:rFonts w:hint="default" w:ascii="Times New Roman" w:hAnsi="Times New Roman" w:cs="Times New Roman"/>
          <w:sz w:val="24"/>
          <w:szCs w:val="24"/>
        </w:rPr>
        <w:t xml:space="preserve"> the field of medical image analysis. In this stud</w:t>
      </w:r>
      <w:r>
        <w:rPr>
          <w:rFonts w:hint="default" w:cs="Times New Roman"/>
          <w:sz w:val="24"/>
          <w:szCs w:val="24"/>
          <w:lang w:val="en-US"/>
        </w:rPr>
        <w:t xml:space="preserve">y we have applied </w:t>
      </w:r>
      <w:r>
        <w:rPr>
          <w:rFonts w:hint="default" w:ascii="Times New Roman" w:hAnsi="Times New Roman" w:cs="Times New Roman"/>
          <w:sz w:val="24"/>
          <w:szCs w:val="24"/>
        </w:rPr>
        <w:t xml:space="preserve">VGG16 architecture for the detection of glaucoma from retinal fundus images. </w:t>
      </w:r>
      <w:r>
        <w:rPr>
          <w:rFonts w:hint="default" w:cs="Times New Roman"/>
          <w:sz w:val="24"/>
          <w:szCs w:val="24"/>
          <w:lang w:val="en-US"/>
        </w:rPr>
        <w:t xml:space="preserve">Our </w:t>
      </w:r>
      <w:r>
        <w:rPr>
          <w:rFonts w:hint="default" w:ascii="Times New Roman" w:hAnsi="Times New Roman" w:cs="Times New Roman"/>
          <w:sz w:val="24"/>
          <w:szCs w:val="24"/>
        </w:rPr>
        <w:t xml:space="preserve">model </w:t>
      </w:r>
      <w:r>
        <w:rPr>
          <w:rFonts w:hint="default" w:cs="Times New Roman"/>
          <w:sz w:val="24"/>
          <w:szCs w:val="24"/>
          <w:lang w:val="en-US"/>
        </w:rPr>
        <w:t>shown strong effective which reaching high</w:t>
      </w:r>
      <w:r>
        <w:rPr>
          <w:rFonts w:hint="default" w:ascii="Times New Roman" w:hAnsi="Times New Roman" w:cs="Times New Roman"/>
          <w:sz w:val="24"/>
          <w:szCs w:val="24"/>
        </w:rPr>
        <w:t xml:space="preserve"> accuracy, sensitivity, and specificity compared to conventional image processing and machine learning approaches. This outcome is </w:t>
      </w:r>
      <w:r>
        <w:rPr>
          <w:rFonts w:hint="default" w:cs="Times New Roman"/>
          <w:sz w:val="24"/>
          <w:szCs w:val="24"/>
          <w:lang w:val="en-US"/>
        </w:rPr>
        <w:t>reliable with</w:t>
      </w:r>
      <w:r>
        <w:rPr>
          <w:rFonts w:hint="default" w:ascii="Times New Roman" w:hAnsi="Times New Roman" w:cs="Times New Roman"/>
          <w:sz w:val="24"/>
          <w:szCs w:val="24"/>
        </w:rPr>
        <w:t xml:space="preserve"> previous findings in ophthalmic </w:t>
      </w:r>
      <w:r>
        <w:rPr>
          <w:rFonts w:hint="default" w:cs="Times New Roman"/>
          <w:sz w:val="24"/>
          <w:szCs w:val="24"/>
          <w:lang w:val="en-US"/>
        </w:rPr>
        <w:t xml:space="preserve">AI </w:t>
      </w:r>
      <w:r>
        <w:rPr>
          <w:rFonts w:hint="default" w:ascii="Times New Roman" w:hAnsi="Times New Roman" w:cs="Times New Roman"/>
          <w:sz w:val="24"/>
          <w:szCs w:val="24"/>
        </w:rPr>
        <w:t>research</w:t>
      </w:r>
      <w:r>
        <w:rPr>
          <w:rFonts w:hint="default" w:cs="Times New Roman"/>
          <w:sz w:val="24"/>
          <w:szCs w:val="24"/>
          <w:lang w:val="en-US"/>
        </w:rPr>
        <w:t>, where</w:t>
      </w:r>
      <w:r>
        <w:rPr>
          <w:rFonts w:hint="default" w:ascii="Times New Roman" w:hAnsi="Times New Roman" w:cs="Times New Roman"/>
          <w:sz w:val="24"/>
          <w:szCs w:val="24"/>
        </w:rPr>
        <w:t xml:space="preserve"> deep CNNs have shown</w:t>
      </w:r>
      <w:r>
        <w:rPr>
          <w:rFonts w:hint="default" w:cs="Times New Roman"/>
          <w:sz w:val="24"/>
          <w:szCs w:val="24"/>
          <w:lang w:val="en-US"/>
        </w:rPr>
        <w:t xml:space="preserve"> more effective at capturing important features compared to hand-designed methods.</w:t>
      </w:r>
    </w:p>
    <w:p w14:paraId="000A06F3">
      <w:pPr>
        <w:pStyle w:val="8"/>
        <w:keepNext w:val="0"/>
        <w:keepLines w:val="0"/>
        <w:widowControl/>
        <w:suppressLineNumbers w:val="0"/>
        <w:jc w:val="both"/>
        <w:rPr>
          <w:rFonts w:hint="default" w:ascii="Times New Roman" w:hAnsi="Times New Roman" w:cs="Times New Roman"/>
          <w:sz w:val="24"/>
          <w:szCs w:val="24"/>
        </w:rPr>
      </w:pPr>
      <w:r>
        <w:rPr>
          <w:rFonts w:hint="default" w:cs="Times New Roman"/>
          <w:sz w:val="24"/>
          <w:szCs w:val="24"/>
          <w:lang w:val="en-US"/>
        </w:rPr>
        <w:t>A major strengths</w:t>
      </w:r>
      <w:r>
        <w:rPr>
          <w:rFonts w:hint="default" w:ascii="Times New Roman" w:hAnsi="Times New Roman" w:cs="Times New Roman"/>
          <w:sz w:val="24"/>
          <w:szCs w:val="24"/>
        </w:rPr>
        <w:t xml:space="preserve"> of VGG16 lies in its deep layered architecture with small receptive fields (3×3 kernels)</w:t>
      </w:r>
      <w:r>
        <w:rPr>
          <w:rFonts w:hint="default" w:cs="Times New Roman"/>
          <w:sz w:val="24"/>
          <w:szCs w:val="24"/>
          <w:lang w:val="en-US"/>
        </w:rPr>
        <w:t xml:space="preserve"> which</w:t>
      </w:r>
      <w:r>
        <w:rPr>
          <w:rFonts w:hint="default" w:ascii="Times New Roman" w:hAnsi="Times New Roman" w:cs="Times New Roman"/>
          <w:sz w:val="24"/>
          <w:szCs w:val="24"/>
        </w:rPr>
        <w:t xml:space="preserve"> enabling the network to capture subtle structural changes in the optic nerve head and retinal nerve fiber layer</w:t>
      </w:r>
      <w:r>
        <w:rPr>
          <w:rFonts w:hint="default" w:cs="Times New Roman"/>
          <w:sz w:val="24"/>
          <w:szCs w:val="24"/>
          <w:lang w:val="en-US"/>
        </w:rPr>
        <w:t xml:space="preserve">, this </w:t>
      </w:r>
      <w:r>
        <w:rPr>
          <w:rFonts w:hint="default" w:ascii="Times New Roman" w:hAnsi="Times New Roman" w:cs="Times New Roman"/>
          <w:sz w:val="24"/>
          <w:szCs w:val="24"/>
        </w:rPr>
        <w:t>both critical indicators of glaucomatous damage. Transfer learning further enhanced the model’s generalization ability</w:t>
      </w:r>
      <w:r>
        <w:rPr>
          <w:rFonts w:hint="default" w:cs="Times New Roman"/>
          <w:sz w:val="24"/>
          <w:szCs w:val="24"/>
          <w:lang w:val="en-US"/>
        </w:rPr>
        <w:t xml:space="preserve">. It is </w:t>
      </w:r>
      <w:r>
        <w:rPr>
          <w:rFonts w:hint="default" w:ascii="Times New Roman" w:hAnsi="Times New Roman" w:cs="Times New Roman"/>
          <w:sz w:val="24"/>
          <w:szCs w:val="24"/>
        </w:rPr>
        <w:t>reducing the need for very large annotated datasets, which are often scarce in medical imaging.</w:t>
      </w:r>
    </w:p>
    <w:p w14:paraId="49DE82DB">
      <w:pPr>
        <w:pStyle w:val="8"/>
        <w:keepNext w:val="0"/>
        <w:keepLines w:val="0"/>
        <w:widowControl/>
        <w:suppressLineNumbers w:val="0"/>
        <w:jc w:val="both"/>
        <w:rPr>
          <w:rFonts w:hint="default" w:ascii="Times New Roman" w:hAnsi="Times New Roman" w:cs="Times New Roman"/>
          <w:sz w:val="24"/>
          <w:szCs w:val="24"/>
        </w:rPr>
      </w:pPr>
      <w:r>
        <w:rPr>
          <w:rFonts w:hint="default" w:cs="Times New Roman"/>
          <w:sz w:val="24"/>
          <w:szCs w:val="24"/>
          <w:lang w:val="en-US"/>
        </w:rPr>
        <w:t>Have these advantages but also have</w:t>
      </w:r>
      <w:r>
        <w:rPr>
          <w:rFonts w:hint="default" w:ascii="Times New Roman" w:hAnsi="Times New Roman" w:cs="Times New Roman"/>
          <w:sz w:val="24"/>
          <w:szCs w:val="24"/>
        </w:rPr>
        <w:t xml:space="preserve"> some limitations</w:t>
      </w:r>
      <w:r>
        <w:rPr>
          <w:rFonts w:hint="default" w:cs="Times New Roman"/>
          <w:sz w:val="24"/>
          <w:szCs w:val="24"/>
          <w:lang w:val="en-US"/>
        </w:rPr>
        <w:t xml:space="preserve"> that</w:t>
      </w:r>
      <w:r>
        <w:rPr>
          <w:rFonts w:hint="default" w:ascii="Times New Roman" w:hAnsi="Times New Roman" w:cs="Times New Roman"/>
          <w:sz w:val="24"/>
          <w:szCs w:val="24"/>
        </w:rPr>
        <w:t xml:space="preserve"> should be noted. VGG16</w:t>
      </w:r>
      <w:r>
        <w:rPr>
          <w:rFonts w:hint="default" w:cs="Times New Roman"/>
          <w:sz w:val="24"/>
          <w:szCs w:val="24"/>
          <w:lang w:val="en-US"/>
        </w:rPr>
        <w:t xml:space="preserve"> is</w:t>
      </w:r>
      <w:r>
        <w:rPr>
          <w:rFonts w:hint="default" w:ascii="Times New Roman" w:hAnsi="Times New Roman" w:cs="Times New Roman"/>
          <w:sz w:val="24"/>
          <w:szCs w:val="24"/>
        </w:rPr>
        <w:t xml:space="preserve"> being a relatively heavy model</w:t>
      </w:r>
      <w:r>
        <w:rPr>
          <w:rFonts w:hint="default" w:cs="Times New Roman"/>
          <w:sz w:val="24"/>
          <w:szCs w:val="24"/>
          <w:lang w:val="en-US"/>
        </w:rPr>
        <w:t>. VGG16</w:t>
      </w:r>
      <w:r>
        <w:rPr>
          <w:rFonts w:hint="default" w:ascii="Times New Roman" w:hAnsi="Times New Roman" w:cs="Times New Roman"/>
          <w:sz w:val="24"/>
          <w:szCs w:val="24"/>
        </w:rPr>
        <w:t xml:space="preserve"> requires </w:t>
      </w:r>
      <w:r>
        <w:rPr>
          <w:rFonts w:hint="default" w:cs="Times New Roman"/>
          <w:sz w:val="24"/>
          <w:szCs w:val="24"/>
          <w:lang w:val="en-US"/>
        </w:rPr>
        <w:t>notable</w:t>
      </w:r>
      <w:r>
        <w:rPr>
          <w:rFonts w:hint="default" w:ascii="Times New Roman" w:hAnsi="Times New Roman" w:cs="Times New Roman"/>
          <w:sz w:val="24"/>
          <w:szCs w:val="24"/>
        </w:rPr>
        <w:t xml:space="preserve"> computational resources for training and inference which </w:t>
      </w:r>
      <w:r>
        <w:rPr>
          <w:rFonts w:hint="default" w:cs="Times New Roman"/>
          <w:sz w:val="24"/>
          <w:szCs w:val="24"/>
          <w:lang w:val="en-US"/>
        </w:rPr>
        <w:t>is cause of</w:t>
      </w:r>
      <w:r>
        <w:rPr>
          <w:rFonts w:hint="default" w:ascii="Times New Roman" w:hAnsi="Times New Roman" w:cs="Times New Roman"/>
          <w:sz w:val="24"/>
          <w:szCs w:val="24"/>
        </w:rPr>
        <w:t xml:space="preserve"> limit its direct application in low-resource clinical environments. Additionally, model performance</w:t>
      </w:r>
      <w:r>
        <w:rPr>
          <w:rFonts w:hint="default" w:cs="Times New Roman"/>
          <w:sz w:val="24"/>
          <w:szCs w:val="24"/>
          <w:lang w:val="en-US"/>
        </w:rPr>
        <w:t xml:space="preserve"> like CNN</w:t>
      </w:r>
      <w:r>
        <w:rPr>
          <w:rFonts w:hint="default" w:ascii="Times New Roman" w:hAnsi="Times New Roman" w:cs="Times New Roman"/>
          <w:sz w:val="24"/>
          <w:szCs w:val="24"/>
        </w:rPr>
        <w:t xml:space="preserve"> is highly dependent on dataset quality and diversity. Retinal images from different devices</w:t>
      </w:r>
      <w:r>
        <w:rPr>
          <w:rFonts w:hint="default" w:cs="Times New Roman"/>
          <w:sz w:val="24"/>
          <w:szCs w:val="24"/>
          <w:lang w:val="en-US"/>
        </w:rPr>
        <w:t xml:space="preserve"> also</w:t>
      </w:r>
      <w:r>
        <w:rPr>
          <w:rFonts w:hint="default" w:ascii="Times New Roman" w:hAnsi="Times New Roman" w:cs="Times New Roman"/>
          <w:sz w:val="24"/>
          <w:szCs w:val="24"/>
        </w:rPr>
        <w:t xml:space="preserve"> lighting conditions, and patient demographics </w:t>
      </w:r>
      <w:r>
        <w:rPr>
          <w:rFonts w:hint="default" w:cs="Times New Roman"/>
          <w:sz w:val="24"/>
          <w:szCs w:val="24"/>
          <w:lang w:val="en-US"/>
        </w:rPr>
        <w:t>could impact external validity</w:t>
      </w:r>
      <w:r>
        <w:rPr>
          <w:rFonts w:hint="default" w:ascii="Times New Roman" w:hAnsi="Times New Roman" w:cs="Times New Roman"/>
          <w:sz w:val="24"/>
          <w:szCs w:val="24"/>
        </w:rPr>
        <w:t xml:space="preserve">. </w:t>
      </w:r>
    </w:p>
    <w:p w14:paraId="06594061">
      <w:pPr>
        <w:pStyle w:val="8"/>
        <w:keepNext w:val="0"/>
        <w:keepLines w:val="0"/>
        <w:widowControl/>
        <w:suppressLineNumbers w:val="0"/>
        <w:jc w:val="both"/>
        <w:rPr>
          <w:rStyle w:val="9"/>
          <w:rFonts w:hint="default" w:cs="Times New Roman"/>
          <w:b w:val="0"/>
          <w:bCs w:val="0"/>
          <w:sz w:val="24"/>
          <w:szCs w:val="24"/>
          <w:lang w:val="en-US"/>
        </w:rPr>
      </w:pPr>
      <w:r>
        <w:rPr>
          <w:rFonts w:hint="default" w:cs="Times New Roman"/>
          <w:sz w:val="24"/>
          <w:szCs w:val="24"/>
          <w:lang w:val="en-US"/>
        </w:rPr>
        <w:t xml:space="preserve">In our study we have got  by analyzing our proposed model, </w:t>
      </w:r>
      <w:r>
        <w:rPr>
          <w:rFonts w:ascii="Times New Roman" w:hAnsi="Times New Roman" w:cs="Times New Roman"/>
          <w:sz w:val="24"/>
          <w:szCs w:val="24"/>
        </w:rPr>
        <w:t>we have got test loss 0.9833,</w:t>
      </w:r>
      <w:r>
        <w:rPr>
          <w:rFonts w:ascii="Times New Roman" w:hAnsi="Times New Roman" w:eastAsia="Times New Roman" w:cs="Times New Roman"/>
          <w:color w:val="3C4043"/>
          <w:sz w:val="24"/>
          <w:szCs w:val="24"/>
        </w:rPr>
        <w:t xml:space="preserve"> </w:t>
      </w:r>
      <w:r>
        <w:rPr>
          <w:rFonts w:ascii="Times New Roman" w:hAnsi="Times New Roman" w:eastAsia="Times New Roman" w:cs="Times New Roman"/>
          <w:color w:val="000000" w:themeColor="text1"/>
          <w:sz w:val="24"/>
          <w:szCs w:val="24"/>
          <w14:textFill>
            <w14:solidFill>
              <w14:schemeClr w14:val="tx1"/>
            </w14:solidFill>
          </w14:textFill>
        </w:rPr>
        <w:t>test accuracy 0.8095, test precision 0.8570, test recall 0.7640, test AUC 0.8960, test F1 Score 13.4369</w:t>
      </w:r>
      <w:r>
        <w:rPr>
          <w:rFonts w:hint="default" w:ascii="Times New Roman" w:hAnsi="Times New Roman" w:eastAsia="Times New Roman" w:cs="Times New Roman"/>
          <w:color w:val="000000" w:themeColor="text1"/>
          <w:sz w:val="24"/>
          <w:szCs w:val="24"/>
          <w:lang w:val="en-US"/>
          <w14:textFill>
            <w14:solidFill>
              <w14:schemeClr w14:val="tx1"/>
            </w14:solidFill>
          </w14:textFill>
        </w:rPr>
        <w:t>,</w:t>
      </w:r>
      <w:r>
        <w:rPr>
          <w:rStyle w:val="9"/>
          <w:rFonts w:hint="default" w:ascii="Times New Roman" w:hAnsi="Times New Roman" w:eastAsia="SimSun" w:cs="Times New Roman"/>
          <w:b w:val="0"/>
          <w:bCs w:val="0"/>
          <w:sz w:val="24"/>
          <w:szCs w:val="24"/>
          <w:lang w:val="en-US"/>
        </w:rPr>
        <w:t xml:space="preserve">  validation loss 0.9346, validation accuracy 0.8375, validation precision 0.8566, validation recall 0.8100, validation AUC 0.9205, validation F1 Score 13.8001. We have also get Receiver Operating Characteristic(ROC) curve, confusion matrix  to evaluating result</w:t>
      </w:r>
      <w:r>
        <w:rPr>
          <w:rStyle w:val="9"/>
          <w:rFonts w:hint="default" w:cs="Times New Roman"/>
          <w:b w:val="0"/>
          <w:bCs w:val="0"/>
          <w:sz w:val="24"/>
          <w:szCs w:val="24"/>
          <w:lang w:val="en-US"/>
        </w:rPr>
        <w:t xml:space="preserve"> of our study.</w:t>
      </w:r>
    </w:p>
    <w:p w14:paraId="684DBF34">
      <w:pPr>
        <w:pStyle w:val="8"/>
        <w:keepNext w:val="0"/>
        <w:keepLines w:val="0"/>
        <w:widowControl/>
        <w:suppressLineNumbers w:val="0"/>
        <w:jc w:val="both"/>
        <w:rPr>
          <w:rStyle w:val="9"/>
          <w:rFonts w:hint="default" w:cs="Times New Roman"/>
          <w:b w:val="0"/>
          <w:bCs w:val="0"/>
          <w:sz w:val="36"/>
          <w:szCs w:val="36"/>
          <w:lang w:val="en-US"/>
        </w:rPr>
      </w:pPr>
    </w:p>
    <w:p w14:paraId="29B1E532">
      <w:pPr>
        <w:pStyle w:val="2"/>
        <w:keepNext w:val="0"/>
        <w:keepLines w:val="0"/>
        <w:widowControl/>
        <w:suppressLineNumbers w:val="0"/>
        <w:jc w:val="both"/>
        <w:rPr>
          <w:rFonts w:hint="default" w:ascii="Times New Roman" w:hAnsi="Times New Roman" w:cs="Times New Roman"/>
          <w:sz w:val="36"/>
          <w:szCs w:val="36"/>
          <w:lang w:val="en-US"/>
        </w:rPr>
      </w:pPr>
      <w:r>
        <w:rPr>
          <w:rStyle w:val="9"/>
          <w:rFonts w:hint="default" w:ascii="Times New Roman" w:hAnsi="Times New Roman" w:cs="Times New Roman"/>
          <w:b/>
          <w:bCs/>
          <w:sz w:val="36"/>
          <w:szCs w:val="36"/>
        </w:rPr>
        <w:t>Conclusion</w:t>
      </w:r>
      <w:r>
        <w:rPr>
          <w:rStyle w:val="9"/>
          <w:rFonts w:hint="default" w:ascii="Times New Roman" w:hAnsi="Times New Roman" w:cs="Times New Roman"/>
          <w:b/>
          <w:bCs/>
          <w:sz w:val="36"/>
          <w:szCs w:val="36"/>
          <w:lang w:val="en-US"/>
        </w:rPr>
        <w:t xml:space="preserve"> And Future work</w:t>
      </w:r>
    </w:p>
    <w:p w14:paraId="032160BC">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research highlights the effectiveness of VGG16 in automated glaucoma detection from retinal fundus images</w:t>
      </w:r>
      <w:r>
        <w:rPr>
          <w:rFonts w:hint="default" w:cs="Times New Roman"/>
          <w:sz w:val="24"/>
          <w:szCs w:val="24"/>
          <w:lang w:val="en-US"/>
        </w:rPr>
        <w:t xml:space="preserve"> as input data</w:t>
      </w:r>
      <w:r>
        <w:rPr>
          <w:rFonts w:hint="default" w:ascii="Times New Roman" w:hAnsi="Times New Roman" w:cs="Times New Roman"/>
          <w:sz w:val="24"/>
          <w:szCs w:val="24"/>
        </w:rPr>
        <w:t xml:space="preserve">. The model’s ability to learn </w:t>
      </w:r>
      <w:r>
        <w:rPr>
          <w:rFonts w:hint="default" w:cs="Times New Roman"/>
          <w:sz w:val="24"/>
          <w:szCs w:val="24"/>
          <w:lang w:val="en-US"/>
        </w:rPr>
        <w:t>informative features offer as a robust</w:t>
      </w:r>
      <w:r>
        <w:rPr>
          <w:rFonts w:hint="default" w:ascii="Times New Roman" w:hAnsi="Times New Roman" w:cs="Times New Roman"/>
          <w:sz w:val="24"/>
          <w:szCs w:val="24"/>
        </w:rPr>
        <w:t xml:space="preserve"> tool for early diagnosis</w:t>
      </w:r>
      <w:r>
        <w:rPr>
          <w:rFonts w:hint="default" w:cs="Times New Roman"/>
          <w:sz w:val="24"/>
          <w:szCs w:val="24"/>
          <w:lang w:val="en-US"/>
        </w:rPr>
        <w:t>. Which</w:t>
      </w:r>
      <w:r>
        <w:rPr>
          <w:rFonts w:hint="default" w:ascii="Times New Roman" w:hAnsi="Times New Roman" w:cs="Times New Roman"/>
          <w:sz w:val="24"/>
          <w:szCs w:val="24"/>
        </w:rPr>
        <w:t xml:space="preserve"> is crucial for preventing irreversible vision loss. While the results are encouraging</w:t>
      </w:r>
      <w:r>
        <w:rPr>
          <w:rFonts w:hint="default" w:cs="Times New Roman"/>
          <w:sz w:val="24"/>
          <w:szCs w:val="24"/>
          <w:lang w:val="en-US"/>
        </w:rPr>
        <w:t xml:space="preserve"> then the</w:t>
      </w:r>
      <w:r>
        <w:rPr>
          <w:rFonts w:hint="default" w:ascii="Times New Roman" w:hAnsi="Times New Roman" w:cs="Times New Roman"/>
          <w:sz w:val="24"/>
          <w:szCs w:val="24"/>
        </w:rPr>
        <w:t xml:space="preserve"> further improvements can be achieved by combining VGG16 with advanced architectures, employing larger multi-ethnic datasets, and integrating explainable AI techniques to enhance clinical acceptance</w:t>
      </w:r>
      <w:r>
        <w:rPr>
          <w:rFonts w:hint="default" w:cs="Times New Roman"/>
          <w:sz w:val="24"/>
          <w:szCs w:val="24"/>
          <w:lang w:val="en-US"/>
        </w:rPr>
        <w:t xml:space="preserve"> all over the world</w:t>
      </w:r>
      <w:r>
        <w:rPr>
          <w:rFonts w:hint="default" w:ascii="Times New Roman" w:hAnsi="Times New Roman" w:cs="Times New Roman"/>
          <w:sz w:val="24"/>
          <w:szCs w:val="24"/>
        </w:rPr>
        <w:t>.</w:t>
      </w:r>
    </w:p>
    <w:p w14:paraId="2B6FEACD">
      <w:pPr>
        <w:pStyle w:val="8"/>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 conclusion</w:t>
      </w:r>
      <w:r>
        <w:rPr>
          <w:rFonts w:hint="default" w:cs="Times New Roman"/>
          <w:sz w:val="24"/>
          <w:szCs w:val="24"/>
          <w:lang w:val="en-US"/>
        </w:rPr>
        <w:t xml:space="preserve"> we can say that </w:t>
      </w:r>
      <w:r>
        <w:rPr>
          <w:rFonts w:hint="default" w:ascii="Times New Roman" w:hAnsi="Times New Roman" w:cs="Times New Roman"/>
          <w:sz w:val="24"/>
          <w:szCs w:val="24"/>
        </w:rPr>
        <w:t>deep learning-based approaches</w:t>
      </w:r>
      <w:r>
        <w:rPr>
          <w:rFonts w:hint="default" w:cs="Times New Roman"/>
          <w:sz w:val="24"/>
          <w:szCs w:val="24"/>
          <w:lang w:val="en-US"/>
        </w:rPr>
        <w:t xml:space="preserve"> which</w:t>
      </w:r>
      <w:r>
        <w:rPr>
          <w:rFonts w:hint="default" w:ascii="Times New Roman" w:hAnsi="Times New Roman" w:cs="Times New Roman"/>
          <w:sz w:val="24"/>
          <w:szCs w:val="24"/>
        </w:rPr>
        <w:t xml:space="preserve"> exemplified by VGG16, hold great potential in transforming glaucoma screening and </w:t>
      </w:r>
      <w:r>
        <w:rPr>
          <w:rFonts w:hint="default" w:cs="Times New Roman"/>
          <w:sz w:val="24"/>
          <w:szCs w:val="24"/>
          <w:lang w:val="en-US"/>
        </w:rPr>
        <w:t>diagnosis using old data</w:t>
      </w:r>
      <w:r>
        <w:rPr>
          <w:rFonts w:hint="default" w:ascii="Times New Roman" w:hAnsi="Times New Roman" w:cs="Times New Roman"/>
          <w:sz w:val="24"/>
          <w:szCs w:val="24"/>
        </w:rPr>
        <w:t>. With continued refinement and clinical validation</w:t>
      </w:r>
      <w:r>
        <w:rPr>
          <w:rFonts w:hint="default" w:cs="Times New Roman"/>
          <w:sz w:val="24"/>
          <w:szCs w:val="24"/>
          <w:lang w:val="en-US"/>
        </w:rPr>
        <w:t>, this types of</w:t>
      </w:r>
      <w:r>
        <w:rPr>
          <w:rFonts w:hint="default" w:ascii="Times New Roman" w:hAnsi="Times New Roman" w:cs="Times New Roman"/>
          <w:sz w:val="24"/>
          <w:szCs w:val="24"/>
        </w:rPr>
        <w:t xml:space="preserve"> models can support ophthalmologists in timely decision-making</w:t>
      </w:r>
      <w:r>
        <w:rPr>
          <w:rFonts w:hint="default" w:cs="Times New Roman"/>
          <w:sz w:val="24"/>
          <w:szCs w:val="24"/>
          <w:lang w:val="en-US"/>
        </w:rPr>
        <w:t xml:space="preserve"> earlier,</w:t>
      </w:r>
      <w:r>
        <w:rPr>
          <w:rFonts w:hint="default" w:ascii="Times New Roman" w:hAnsi="Times New Roman" w:cs="Times New Roman"/>
          <w:sz w:val="24"/>
          <w:szCs w:val="24"/>
        </w:rPr>
        <w:t xml:space="preserve"> improve patient outcomes, and ultimately contribute to reducing the global burden of blindness caused by glaucoma.</w:t>
      </w:r>
    </w:p>
    <w:p w14:paraId="0FD7FF9B">
      <w:pPr>
        <w:jc w:val="both"/>
        <w:rPr>
          <w:b/>
          <w:bCs/>
          <w:sz w:val="28"/>
          <w:szCs w:val="28"/>
        </w:rPr>
      </w:pPr>
    </w:p>
    <w:p w14:paraId="3B9BE079">
      <w:pPr>
        <w:jc w:val="both"/>
        <w:rPr>
          <w:b/>
          <w:bCs/>
          <w:sz w:val="28"/>
          <w:szCs w:val="28"/>
        </w:rPr>
      </w:pPr>
    </w:p>
    <w:p w14:paraId="12579929">
      <w:pPr>
        <w:jc w:val="both"/>
        <w:rPr>
          <w:b/>
          <w:bCs/>
          <w:sz w:val="28"/>
          <w:szCs w:val="28"/>
        </w:rPr>
      </w:pPr>
    </w:p>
    <w:p w14:paraId="2F21AFA4">
      <w:pPr>
        <w:jc w:val="both"/>
        <w:rPr>
          <w:rFonts w:hint="default" w:ascii="Times New Roman" w:hAnsi="Times New Roman" w:cs="Times New Roman"/>
          <w:b/>
          <w:bCs/>
          <w:sz w:val="36"/>
          <w:szCs w:val="36"/>
        </w:rPr>
      </w:pPr>
      <w:r>
        <w:rPr>
          <w:rFonts w:hint="default" w:ascii="Times New Roman" w:hAnsi="Times New Roman" w:cs="Times New Roman"/>
          <w:b/>
          <w:bCs/>
          <w:sz w:val="36"/>
          <w:szCs w:val="36"/>
        </w:rPr>
        <w:t>References:</w:t>
      </w:r>
    </w:p>
    <w:p w14:paraId="0DC97ED7">
      <w:pPr>
        <w:numPr>
          <w:ilvl w:val="0"/>
          <w:numId w:val="1"/>
        </w:numPr>
        <w:jc w:val="both"/>
        <w:rPr>
          <w:rFonts w:hint="default" w:ascii="Times New Roman" w:hAnsi="Times New Roman" w:cs="Times New Roman" w:eastAsiaTheme="minorEastAsia"/>
          <w:color w:val="000000"/>
          <w:sz w:val="22"/>
          <w:szCs w:val="22"/>
          <w:lang w:eastAsia="zh-CN" w:bidi="ar"/>
        </w:rPr>
      </w:pPr>
      <w:r>
        <w:rPr>
          <w:rFonts w:hint="default" w:ascii="Times New Roman" w:hAnsi="Times New Roman" w:cs="Times New Roman" w:eastAsiaTheme="minorEastAsia"/>
          <w:color w:val="000000"/>
          <w:sz w:val="22"/>
          <w:szCs w:val="22"/>
          <w:lang w:eastAsia="zh-CN" w:bidi="ar"/>
        </w:rPr>
        <w:t xml:space="preserve">Quigley HA. Glaucoma. Lancet. </w:t>
      </w:r>
      <w:r>
        <w:rPr>
          <w:rFonts w:hint="default" w:ascii="Times New Roman" w:hAnsi="Times New Roman" w:cs="Times New Roman" w:eastAsiaTheme="minorEastAsia"/>
          <w:color w:val="000080"/>
          <w:sz w:val="22"/>
          <w:szCs w:val="22"/>
          <w:lang w:eastAsia="zh-CN" w:bidi="ar"/>
        </w:rPr>
        <w:t>2011</w:t>
      </w:r>
      <w:r>
        <w:rPr>
          <w:rFonts w:hint="default" w:ascii="Times New Roman" w:hAnsi="Times New Roman" w:cs="Times New Roman" w:eastAsiaTheme="minorEastAsia"/>
          <w:color w:val="000000"/>
          <w:sz w:val="22"/>
          <w:szCs w:val="22"/>
          <w:lang w:eastAsia="zh-CN" w:bidi="ar"/>
        </w:rPr>
        <w:t>;377 (9774):1367–1377.</w:t>
      </w:r>
    </w:p>
    <w:p w14:paraId="02561CA6">
      <w:pPr>
        <w:jc w:val="both"/>
        <w:rPr>
          <w:rFonts w:hint="default" w:ascii="Times New Roman" w:hAnsi="Times New Roman" w:cs="Times New Roman" w:eastAsiaTheme="minorEastAsia"/>
          <w:color w:val="000000"/>
          <w:sz w:val="22"/>
          <w:szCs w:val="22"/>
          <w:lang w:eastAsia="zh-CN" w:bidi="ar"/>
        </w:rPr>
      </w:pPr>
      <w:r>
        <w:rPr>
          <w:rFonts w:hint="default" w:ascii="Times New Roman" w:hAnsi="Times New Roman" w:cs="Times New Roman" w:eastAsiaTheme="minorEastAsia"/>
          <w:color w:val="000000"/>
          <w:sz w:val="22"/>
          <w:szCs w:val="22"/>
          <w:lang w:eastAsia="zh-CN" w:bidi="ar"/>
        </w:rPr>
        <w:t>[2] Fechtner RD, Khouri AS. Evolving global risk assessment of ocular hypertension to</w:t>
      </w:r>
    </w:p>
    <w:p w14:paraId="6792C438">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glaucoma. Curr Opin Ophthalmol. </w:t>
      </w:r>
      <w:r>
        <w:rPr>
          <w:rFonts w:hint="default" w:ascii="Times New Roman" w:hAnsi="Times New Roman" w:cs="Times New Roman" w:eastAsiaTheme="minorEastAsia"/>
          <w:color w:val="000080"/>
          <w:sz w:val="22"/>
          <w:szCs w:val="22"/>
          <w:lang w:eastAsia="zh-CN" w:bidi="ar"/>
        </w:rPr>
        <w:t>2007</w:t>
      </w:r>
      <w:r>
        <w:rPr>
          <w:rFonts w:hint="default" w:ascii="Times New Roman" w:hAnsi="Times New Roman" w:cs="Times New Roman" w:eastAsiaTheme="minorEastAsia"/>
          <w:color w:val="000000"/>
          <w:sz w:val="22"/>
          <w:szCs w:val="22"/>
          <w:lang w:eastAsia="zh-CN" w:bidi="ar"/>
        </w:rPr>
        <w:t xml:space="preserve">;18(2):104–109. </w:t>
      </w:r>
    </w:p>
    <w:p w14:paraId="5272D8C3">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[3] Nayyar A, Gindina S, Barron A, et al. Do epigenetic changes caused by commensal microbiota contribute to development of ocular disease? A review of evidence. Hum Genomics. </w:t>
      </w:r>
      <w:r>
        <w:rPr>
          <w:rFonts w:hint="default" w:ascii="Times New Roman" w:hAnsi="Times New Roman" w:cs="Times New Roman" w:eastAsiaTheme="minorEastAsia"/>
          <w:color w:val="000080"/>
          <w:sz w:val="22"/>
          <w:szCs w:val="22"/>
          <w:lang w:eastAsia="zh-CN" w:bidi="ar"/>
        </w:rPr>
        <w:t>2020</w:t>
      </w:r>
      <w:r>
        <w:rPr>
          <w:rFonts w:hint="default" w:ascii="Times New Roman" w:hAnsi="Times New Roman" w:cs="Times New Roman" w:eastAsiaTheme="minorEastAsia"/>
          <w:color w:val="000000"/>
          <w:sz w:val="22"/>
          <w:szCs w:val="22"/>
          <w:lang w:eastAsia="zh-CN" w:bidi="ar"/>
        </w:rPr>
        <w:t xml:space="preserve">;14(1):11. </w:t>
      </w:r>
    </w:p>
    <w:p w14:paraId="76909625">
      <w:pPr>
        <w:jc w:val="both"/>
        <w:rPr>
          <w:rFonts w:hint="default" w:ascii="Times New Roman" w:hAnsi="Times New Roman" w:cs="Times New Roman" w:eastAsiaTheme="minorEastAsia"/>
          <w:color w:val="000000"/>
          <w:sz w:val="22"/>
          <w:szCs w:val="22"/>
          <w:lang w:eastAsia="zh-CN" w:bidi="ar"/>
        </w:rPr>
      </w:pPr>
      <w:r>
        <w:rPr>
          <w:rFonts w:hint="default" w:ascii="Times New Roman" w:hAnsi="Times New Roman" w:cs="Times New Roman" w:eastAsiaTheme="minorEastAsia"/>
          <w:color w:val="000000"/>
          <w:sz w:val="22"/>
          <w:szCs w:val="22"/>
          <w:lang w:eastAsia="zh-CN" w:bidi="ar"/>
        </w:rPr>
        <w:t>[4] Chen H, Cho KS, Vu THK, et al. Commensal microflora-induced T cell responses</w:t>
      </w:r>
    </w:p>
    <w:p w14:paraId="5D931EBF">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mediate progressive neurodegeneration in glaucoma. Nat Commun. </w:t>
      </w:r>
    </w:p>
    <w:p w14:paraId="26C9B7BC">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80"/>
          <w:sz w:val="22"/>
          <w:szCs w:val="22"/>
          <w:lang w:eastAsia="zh-CN" w:bidi="ar"/>
        </w:rPr>
        <w:t>2018</w:t>
      </w:r>
      <w:r>
        <w:rPr>
          <w:rFonts w:hint="default" w:ascii="Times New Roman" w:hAnsi="Times New Roman" w:cs="Times New Roman" w:eastAsiaTheme="minorEastAsia"/>
          <w:color w:val="000000"/>
          <w:sz w:val="22"/>
          <w:szCs w:val="22"/>
          <w:lang w:eastAsia="zh-CN" w:bidi="ar"/>
        </w:rPr>
        <w:t xml:space="preserve">;9(1):3209. </w:t>
      </w:r>
    </w:p>
    <w:p w14:paraId="6265722B">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[5] Polla D, Astafurov K, Hawy E, et al. A pilot study to evaluate the oral microbiome and dental health in primary open-Angle glaucoma. J Glaucoma. </w:t>
      </w:r>
      <w:r>
        <w:rPr>
          <w:rFonts w:hint="default" w:ascii="Times New Roman" w:hAnsi="Times New Roman" w:cs="Times New Roman" w:eastAsiaTheme="minorEastAsia"/>
          <w:color w:val="000080"/>
          <w:sz w:val="22"/>
          <w:szCs w:val="22"/>
          <w:lang w:eastAsia="zh-CN" w:bidi="ar"/>
        </w:rPr>
        <w:t>2017</w:t>
      </w:r>
      <w:r>
        <w:rPr>
          <w:rFonts w:hint="default" w:ascii="Times New Roman" w:hAnsi="Times New Roman" w:cs="Times New Roman" w:eastAsiaTheme="minorEastAsia"/>
          <w:color w:val="000000"/>
          <w:sz w:val="22"/>
          <w:szCs w:val="22"/>
          <w:lang w:eastAsia="zh-CN" w:bidi="ar"/>
        </w:rPr>
        <w:t xml:space="preserve">;26(4):320–327. </w:t>
      </w:r>
    </w:p>
    <w:p w14:paraId="7EA9F04D">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[6] Gupta A. Harnessing the microbiome in glaucoma and uveitis. Med Hypotheses. </w:t>
      </w:r>
      <w:r>
        <w:rPr>
          <w:rFonts w:hint="default" w:ascii="Times New Roman" w:hAnsi="Times New Roman" w:cs="Times New Roman" w:eastAsiaTheme="minorEastAsia"/>
          <w:color w:val="000080"/>
          <w:sz w:val="22"/>
          <w:szCs w:val="22"/>
          <w:lang w:eastAsia="zh-CN" w:bidi="ar"/>
        </w:rPr>
        <w:t>2015</w:t>
      </w:r>
      <w:r>
        <w:rPr>
          <w:rFonts w:hint="default" w:ascii="Times New Roman" w:hAnsi="Times New Roman" w:cs="Times New Roman" w:eastAsiaTheme="minorEastAsia"/>
          <w:color w:val="000000"/>
          <w:sz w:val="22"/>
          <w:szCs w:val="22"/>
          <w:lang w:eastAsia="zh-CN" w:bidi="ar"/>
        </w:rPr>
        <w:t xml:space="preserve">;85(5):699–700. </w:t>
      </w:r>
    </w:p>
    <w:p w14:paraId="33290F47">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[7] Astafurov K, Elhawy E, Ren L, et al. Oral microbiome link to neurodegeneration in glaucoma. PLoS One. </w:t>
      </w:r>
      <w:r>
        <w:rPr>
          <w:rFonts w:hint="default" w:ascii="Times New Roman" w:hAnsi="Times New Roman" w:cs="Times New Roman" w:eastAsiaTheme="minorEastAsia"/>
          <w:color w:val="000080"/>
          <w:sz w:val="22"/>
          <w:szCs w:val="22"/>
          <w:lang w:eastAsia="zh-CN" w:bidi="ar"/>
        </w:rPr>
        <w:t>2014</w:t>
      </w:r>
      <w:r>
        <w:rPr>
          <w:rFonts w:hint="default" w:ascii="Times New Roman" w:hAnsi="Times New Roman" w:cs="Times New Roman" w:eastAsiaTheme="minorEastAsia"/>
          <w:color w:val="000000"/>
          <w:sz w:val="22"/>
          <w:szCs w:val="22"/>
          <w:lang w:eastAsia="zh-CN" w:bidi="ar"/>
        </w:rPr>
        <w:t xml:space="preserve">;9(9):e104416. </w:t>
      </w:r>
    </w:p>
    <w:p w14:paraId="68F55E8A">
      <w:pPr>
        <w:jc w:val="both"/>
        <w:rPr>
          <w:rFonts w:hint="default" w:ascii="Times New Roman" w:hAnsi="Times New Roman" w:cs="Times New Roman" w:eastAsiaTheme="minorEastAsia"/>
          <w:color w:val="000000"/>
          <w:sz w:val="22"/>
          <w:szCs w:val="22"/>
          <w:lang w:eastAsia="zh-CN" w:bidi="ar"/>
        </w:rPr>
      </w:pPr>
      <w:r>
        <w:rPr>
          <w:rFonts w:hint="default" w:ascii="Times New Roman" w:hAnsi="Times New Roman" w:cs="Times New Roman" w:eastAsiaTheme="minorEastAsia"/>
          <w:color w:val="000000"/>
          <w:sz w:val="22"/>
          <w:szCs w:val="22"/>
          <w:lang w:eastAsia="zh-CN" w:bidi="ar"/>
        </w:rPr>
        <w:t>[8] Wax MB, Tezel G, Saito I, et al. Anti-Ro/SS-A positivity and heat shock protein antibodies in patients with normal-pressure glaucoma. Am J Ophthalmol.</w:t>
      </w:r>
    </w:p>
    <w:p w14:paraId="20810B23">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80"/>
          <w:sz w:val="22"/>
          <w:szCs w:val="22"/>
          <w:lang w:eastAsia="zh-CN" w:bidi="ar"/>
        </w:rPr>
        <w:t>1998</w:t>
      </w:r>
      <w:r>
        <w:rPr>
          <w:rFonts w:hint="default" w:ascii="Times New Roman" w:hAnsi="Times New Roman" w:cs="Times New Roman" w:eastAsiaTheme="minorEastAsia"/>
          <w:color w:val="000000"/>
          <w:sz w:val="22"/>
          <w:szCs w:val="22"/>
          <w:lang w:eastAsia="zh-CN" w:bidi="ar"/>
        </w:rPr>
        <w:t xml:space="preserve">;125(2):145–157. </w:t>
      </w:r>
    </w:p>
    <w:p w14:paraId="47A1925C">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[9] Almasieh M, Wilson AM, Morquette B, et al. The molecular basis of retinal ganglion cell death in glaucoma. Prog Retin Eye Res. </w:t>
      </w:r>
      <w:r>
        <w:rPr>
          <w:rFonts w:hint="default" w:ascii="Times New Roman" w:hAnsi="Times New Roman" w:cs="Times New Roman" w:eastAsiaTheme="minorEastAsia"/>
          <w:color w:val="000080"/>
          <w:sz w:val="22"/>
          <w:szCs w:val="22"/>
          <w:lang w:eastAsia="zh-CN" w:bidi="ar"/>
        </w:rPr>
        <w:t>2012</w:t>
      </w:r>
      <w:r>
        <w:rPr>
          <w:rFonts w:hint="default" w:ascii="Times New Roman" w:hAnsi="Times New Roman" w:cs="Times New Roman" w:eastAsiaTheme="minorEastAsia"/>
          <w:color w:val="000000"/>
          <w:sz w:val="22"/>
          <w:szCs w:val="22"/>
          <w:lang w:eastAsia="zh-CN" w:bidi="ar"/>
        </w:rPr>
        <w:t xml:space="preserve">;31:152–181. </w:t>
      </w:r>
    </w:p>
    <w:p w14:paraId="4F339EB4">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[10] Ramirez AI, de Hoz R, Salobrar-Garcia E, et al. The role of Microglia in retinal neurodegeneration: Alzheimer’s disease, Parkinson, and glaucoma. Front Aging Neurosci. </w:t>
      </w:r>
      <w:r>
        <w:rPr>
          <w:rFonts w:hint="default" w:ascii="Times New Roman" w:hAnsi="Times New Roman" w:cs="Times New Roman" w:eastAsiaTheme="minorEastAsia"/>
          <w:color w:val="000080"/>
          <w:sz w:val="22"/>
          <w:szCs w:val="22"/>
          <w:lang w:eastAsia="zh-CN" w:bidi="ar"/>
        </w:rPr>
        <w:t>2017</w:t>
      </w:r>
      <w:r>
        <w:rPr>
          <w:rFonts w:hint="default" w:ascii="Times New Roman" w:hAnsi="Times New Roman" w:cs="Times New Roman" w:eastAsiaTheme="minorEastAsia"/>
          <w:color w:val="000000"/>
          <w:sz w:val="22"/>
          <w:szCs w:val="22"/>
          <w:lang w:eastAsia="zh-CN" w:bidi="ar"/>
        </w:rPr>
        <w:t xml:space="preserve">;9:214. </w:t>
      </w:r>
    </w:p>
    <w:p w14:paraId="43729F26">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[11] Lin IC, Wang YH, Wang TJ, et al. Glaucoma, Alzheimer’s disease, and Parkinson’s disease: an 8-year population-based follow-up study. PLoS One. </w:t>
      </w:r>
    </w:p>
    <w:p w14:paraId="03B4ED58">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80"/>
          <w:sz w:val="22"/>
          <w:szCs w:val="22"/>
          <w:lang w:eastAsia="zh-CN" w:bidi="ar"/>
        </w:rPr>
        <w:t>2014</w:t>
      </w:r>
      <w:r>
        <w:rPr>
          <w:rFonts w:hint="default" w:ascii="Times New Roman" w:hAnsi="Times New Roman" w:cs="Times New Roman" w:eastAsiaTheme="minorEastAsia"/>
          <w:color w:val="000000"/>
          <w:sz w:val="22"/>
          <w:szCs w:val="22"/>
          <w:lang w:eastAsia="zh-CN" w:bidi="ar"/>
        </w:rPr>
        <w:t>;9(10):e108938.</w:t>
      </w:r>
    </w:p>
    <w:p w14:paraId="5C04E474">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[12]Harasymowycz, P.; Birt, C.; Gooi, P.; Heckler, L.; Hutnik, C.; Jinapriya, D.; Shuba, L.; Yan, D.; Day, R. Medical Management of Glaucoma in the 21st Century from a Canadian Perspective. </w:t>
      </w:r>
      <w:r>
        <w:rPr>
          <w:rFonts w:hint="default" w:ascii="Times New Roman" w:hAnsi="Times New Roman" w:cs="Times New Roman" w:eastAsiaTheme="minorEastAsia"/>
          <w:i/>
          <w:iCs/>
          <w:color w:val="000000"/>
          <w:sz w:val="22"/>
          <w:szCs w:val="22"/>
          <w:lang w:eastAsia="zh-CN" w:bidi="ar"/>
        </w:rPr>
        <w:t xml:space="preserve">J. Ophthalmol. </w:t>
      </w:r>
      <w:r>
        <w:rPr>
          <w:rFonts w:hint="default" w:ascii="Times New Roman" w:hAnsi="Times New Roman" w:cs="Times New Roman" w:eastAsiaTheme="minorEastAsia"/>
          <w:b/>
          <w:bCs/>
          <w:color w:val="000000"/>
          <w:sz w:val="22"/>
          <w:szCs w:val="22"/>
          <w:lang w:eastAsia="zh-CN" w:bidi="ar"/>
        </w:rPr>
        <w:t>2016</w:t>
      </w:r>
      <w:r>
        <w:rPr>
          <w:rFonts w:hint="default" w:ascii="Times New Roman" w:hAnsi="Times New Roman" w:cs="Times New Roman" w:eastAsiaTheme="minorEastAsia"/>
          <w:color w:val="000000"/>
          <w:sz w:val="22"/>
          <w:szCs w:val="22"/>
          <w:lang w:eastAsia="zh-CN" w:bidi="ar"/>
        </w:rPr>
        <w:t xml:space="preserve">, </w:t>
      </w:r>
      <w:r>
        <w:rPr>
          <w:rFonts w:hint="default" w:ascii="Times New Roman" w:hAnsi="Times New Roman" w:cs="Times New Roman" w:eastAsiaTheme="minorEastAsia"/>
          <w:i/>
          <w:iCs/>
          <w:color w:val="000000"/>
          <w:sz w:val="22"/>
          <w:szCs w:val="22"/>
          <w:lang w:eastAsia="zh-CN" w:bidi="ar"/>
        </w:rPr>
        <w:t>2016</w:t>
      </w:r>
      <w:r>
        <w:rPr>
          <w:rFonts w:hint="default" w:ascii="Times New Roman" w:hAnsi="Times New Roman" w:cs="Times New Roman" w:eastAsiaTheme="minorEastAsia"/>
          <w:color w:val="000000"/>
          <w:sz w:val="22"/>
          <w:szCs w:val="22"/>
          <w:lang w:eastAsia="zh-CN" w:bidi="ar"/>
        </w:rPr>
        <w:t>, 6509809. [</w:t>
      </w:r>
      <w:r>
        <w:rPr>
          <w:rFonts w:hint="default" w:ascii="Times New Roman" w:hAnsi="Times New Roman" w:cs="Times New Roman" w:eastAsiaTheme="minorEastAsia"/>
          <w:color w:val="0875B7"/>
          <w:sz w:val="22"/>
          <w:szCs w:val="22"/>
          <w:lang w:eastAsia="zh-CN" w:bidi="ar"/>
        </w:rPr>
        <w:t>CrossRef</w:t>
      </w:r>
      <w:r>
        <w:rPr>
          <w:rFonts w:hint="default" w:ascii="Times New Roman" w:hAnsi="Times New Roman" w:cs="Times New Roman" w:eastAsiaTheme="minorEastAsia"/>
          <w:color w:val="000000"/>
          <w:sz w:val="22"/>
          <w:szCs w:val="22"/>
          <w:lang w:eastAsia="zh-CN" w:bidi="ar"/>
        </w:rPr>
        <w:t xml:space="preserve">] </w:t>
      </w:r>
    </w:p>
    <w:p w14:paraId="3FFE6E72">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[13] Katz, J.; Sommer, A. Risk factors for primary open angle glaucoma. </w:t>
      </w:r>
      <w:r>
        <w:rPr>
          <w:rFonts w:hint="default" w:ascii="Times New Roman" w:hAnsi="Times New Roman" w:cs="Times New Roman" w:eastAsiaTheme="minorEastAsia"/>
          <w:i/>
          <w:iCs/>
          <w:color w:val="000000"/>
          <w:sz w:val="22"/>
          <w:szCs w:val="22"/>
          <w:lang w:eastAsia="zh-CN" w:bidi="ar"/>
        </w:rPr>
        <w:t xml:space="preserve">Am. J. Prev. Med. </w:t>
      </w:r>
      <w:r>
        <w:rPr>
          <w:rFonts w:hint="default" w:ascii="Times New Roman" w:hAnsi="Times New Roman" w:cs="Times New Roman" w:eastAsiaTheme="minorEastAsia"/>
          <w:b/>
          <w:bCs/>
          <w:color w:val="000000"/>
          <w:sz w:val="22"/>
          <w:szCs w:val="22"/>
          <w:lang w:eastAsia="zh-CN" w:bidi="ar"/>
        </w:rPr>
        <w:t>1988</w:t>
      </w:r>
      <w:r>
        <w:rPr>
          <w:rFonts w:hint="default" w:ascii="Times New Roman" w:hAnsi="Times New Roman" w:cs="Times New Roman" w:eastAsiaTheme="minorEastAsia"/>
          <w:color w:val="000000"/>
          <w:sz w:val="22"/>
          <w:szCs w:val="22"/>
          <w:lang w:eastAsia="zh-CN" w:bidi="ar"/>
        </w:rPr>
        <w:t xml:space="preserve">, </w:t>
      </w:r>
      <w:r>
        <w:rPr>
          <w:rFonts w:hint="default" w:ascii="Times New Roman" w:hAnsi="Times New Roman" w:cs="Times New Roman" w:eastAsiaTheme="minorEastAsia"/>
          <w:i/>
          <w:iCs/>
          <w:color w:val="000000"/>
          <w:sz w:val="22"/>
          <w:szCs w:val="22"/>
          <w:lang w:eastAsia="zh-CN" w:bidi="ar"/>
        </w:rPr>
        <w:t>4</w:t>
      </w:r>
      <w:r>
        <w:rPr>
          <w:rFonts w:hint="default" w:ascii="Times New Roman" w:hAnsi="Times New Roman" w:cs="Times New Roman" w:eastAsiaTheme="minorEastAsia"/>
          <w:color w:val="000000"/>
          <w:sz w:val="22"/>
          <w:szCs w:val="22"/>
          <w:lang w:eastAsia="zh-CN" w:bidi="ar"/>
        </w:rPr>
        <w:t>, 110–114. [</w:t>
      </w:r>
      <w:r>
        <w:rPr>
          <w:rFonts w:hint="default" w:ascii="Times New Roman" w:hAnsi="Times New Roman" w:cs="Times New Roman" w:eastAsiaTheme="minorEastAsia"/>
          <w:color w:val="0875B7"/>
          <w:sz w:val="22"/>
          <w:szCs w:val="22"/>
          <w:lang w:eastAsia="zh-CN" w:bidi="ar"/>
        </w:rPr>
        <w:t>CrossRef</w:t>
      </w:r>
      <w:r>
        <w:rPr>
          <w:rFonts w:hint="default" w:ascii="Times New Roman" w:hAnsi="Times New Roman" w:cs="Times New Roman" w:eastAsiaTheme="minorEastAsia"/>
          <w:color w:val="000000"/>
          <w:sz w:val="22"/>
          <w:szCs w:val="22"/>
          <w:lang w:eastAsia="zh-CN" w:bidi="ar"/>
        </w:rPr>
        <w:t xml:space="preserve">] </w:t>
      </w:r>
    </w:p>
    <w:p w14:paraId="11FD92E2">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[14] Deokule, S.; Weinreb, R.N. Relationships among systemic blood pressure, intraocular pressure, and open-angle glaucoma. </w:t>
      </w:r>
      <w:r>
        <w:rPr>
          <w:rFonts w:hint="default" w:ascii="Times New Roman" w:hAnsi="Times New Roman" w:cs="Times New Roman" w:eastAsiaTheme="minorEastAsia"/>
          <w:i/>
          <w:iCs/>
          <w:color w:val="000000"/>
          <w:sz w:val="22"/>
          <w:szCs w:val="22"/>
          <w:lang w:eastAsia="zh-CN" w:bidi="ar"/>
        </w:rPr>
        <w:t xml:space="preserve">Can. J. Ophthalmol. </w:t>
      </w:r>
      <w:r>
        <w:rPr>
          <w:rFonts w:hint="default" w:ascii="Times New Roman" w:hAnsi="Times New Roman" w:cs="Times New Roman" w:eastAsiaTheme="minorEastAsia"/>
          <w:b/>
          <w:bCs/>
          <w:color w:val="000000"/>
          <w:sz w:val="22"/>
          <w:szCs w:val="22"/>
          <w:lang w:eastAsia="zh-CN" w:bidi="ar"/>
        </w:rPr>
        <w:t>2008</w:t>
      </w:r>
      <w:r>
        <w:rPr>
          <w:rFonts w:hint="default" w:ascii="Times New Roman" w:hAnsi="Times New Roman" w:cs="Times New Roman" w:eastAsiaTheme="minorEastAsia"/>
          <w:color w:val="000000"/>
          <w:sz w:val="22"/>
          <w:szCs w:val="22"/>
          <w:lang w:eastAsia="zh-CN" w:bidi="ar"/>
        </w:rPr>
        <w:t xml:space="preserve">, </w:t>
      </w:r>
      <w:r>
        <w:rPr>
          <w:rFonts w:hint="default" w:ascii="Times New Roman" w:hAnsi="Times New Roman" w:cs="Times New Roman" w:eastAsiaTheme="minorEastAsia"/>
          <w:i/>
          <w:iCs/>
          <w:color w:val="000000"/>
          <w:sz w:val="22"/>
          <w:szCs w:val="22"/>
          <w:lang w:eastAsia="zh-CN" w:bidi="ar"/>
        </w:rPr>
        <w:t>43</w:t>
      </w:r>
      <w:r>
        <w:rPr>
          <w:rFonts w:hint="default" w:ascii="Times New Roman" w:hAnsi="Times New Roman" w:cs="Times New Roman" w:eastAsiaTheme="minorEastAsia"/>
          <w:color w:val="000000"/>
          <w:sz w:val="22"/>
          <w:szCs w:val="22"/>
          <w:lang w:eastAsia="zh-CN" w:bidi="ar"/>
        </w:rPr>
        <w:t>, 302–307. [</w:t>
      </w:r>
      <w:r>
        <w:rPr>
          <w:rFonts w:hint="default" w:ascii="Times New Roman" w:hAnsi="Times New Roman" w:cs="Times New Roman" w:eastAsiaTheme="minorEastAsia"/>
          <w:color w:val="0875B7"/>
          <w:sz w:val="22"/>
          <w:szCs w:val="22"/>
          <w:lang w:eastAsia="zh-CN" w:bidi="ar"/>
        </w:rPr>
        <w:t>CrossRef</w:t>
      </w:r>
      <w:r>
        <w:rPr>
          <w:rFonts w:hint="default" w:ascii="Times New Roman" w:hAnsi="Times New Roman" w:cs="Times New Roman" w:eastAsiaTheme="minorEastAsia"/>
          <w:color w:val="000000"/>
          <w:sz w:val="22"/>
          <w:szCs w:val="22"/>
          <w:lang w:eastAsia="zh-CN" w:bidi="ar"/>
        </w:rPr>
        <w:t xml:space="preserve">] </w:t>
      </w:r>
    </w:p>
    <w:p w14:paraId="6196348E">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[15] Dielemans, I.; Vingerling, J.R.; Algra, D.; Hofman, A.; Grobbee, D.E.; de Jong, P.T. Primary open-angle glaucoma, intraocular pressure, and systemic blood pressure in the general elderly population. The Rotterdam Study. </w:t>
      </w:r>
      <w:r>
        <w:rPr>
          <w:rFonts w:hint="default" w:ascii="Times New Roman" w:hAnsi="Times New Roman" w:cs="Times New Roman" w:eastAsiaTheme="minorEastAsia"/>
          <w:i/>
          <w:iCs/>
          <w:color w:val="000000"/>
          <w:sz w:val="22"/>
          <w:szCs w:val="22"/>
          <w:lang w:eastAsia="zh-CN" w:bidi="ar"/>
        </w:rPr>
        <w:t xml:space="preserve">Ophthalmology </w:t>
      </w:r>
      <w:r>
        <w:rPr>
          <w:rFonts w:hint="default" w:ascii="Times New Roman" w:hAnsi="Times New Roman" w:cs="Times New Roman" w:eastAsiaTheme="minorEastAsia"/>
          <w:b/>
          <w:bCs/>
          <w:color w:val="000000"/>
          <w:sz w:val="22"/>
          <w:szCs w:val="22"/>
          <w:lang w:eastAsia="zh-CN" w:bidi="ar"/>
        </w:rPr>
        <w:t>1995</w:t>
      </w:r>
      <w:r>
        <w:rPr>
          <w:rFonts w:hint="default" w:ascii="Times New Roman" w:hAnsi="Times New Roman" w:cs="Times New Roman" w:eastAsiaTheme="minorEastAsia"/>
          <w:color w:val="000000"/>
          <w:sz w:val="22"/>
          <w:szCs w:val="22"/>
          <w:lang w:eastAsia="zh-CN" w:bidi="ar"/>
        </w:rPr>
        <w:t xml:space="preserve">, </w:t>
      </w:r>
      <w:r>
        <w:rPr>
          <w:rFonts w:hint="default" w:ascii="Times New Roman" w:hAnsi="Times New Roman" w:cs="Times New Roman" w:eastAsiaTheme="minorEastAsia"/>
          <w:i/>
          <w:iCs/>
          <w:color w:val="000000"/>
          <w:sz w:val="22"/>
          <w:szCs w:val="22"/>
          <w:lang w:eastAsia="zh-CN" w:bidi="ar"/>
        </w:rPr>
        <w:t>102</w:t>
      </w:r>
      <w:r>
        <w:rPr>
          <w:rFonts w:hint="default" w:ascii="Times New Roman" w:hAnsi="Times New Roman" w:cs="Times New Roman" w:eastAsiaTheme="minorEastAsia"/>
          <w:color w:val="000000"/>
          <w:sz w:val="22"/>
          <w:szCs w:val="22"/>
          <w:lang w:eastAsia="zh-CN" w:bidi="ar"/>
        </w:rPr>
        <w:t xml:space="preserve">, 54–60. </w:t>
      </w:r>
    </w:p>
    <w:p w14:paraId="26A17A20">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w:t>
      </w:r>
      <w:r>
        <w:rPr>
          <w:rFonts w:hint="default" w:ascii="Times New Roman" w:hAnsi="Times New Roman" w:cs="Times New Roman" w:eastAsiaTheme="minorEastAsia"/>
          <w:color w:val="0875B7"/>
          <w:sz w:val="22"/>
          <w:szCs w:val="22"/>
          <w:lang w:eastAsia="zh-CN" w:bidi="ar"/>
        </w:rPr>
        <w:t>CrossRef</w:t>
      </w:r>
      <w:r>
        <w:rPr>
          <w:rFonts w:hint="default" w:ascii="Times New Roman" w:hAnsi="Times New Roman" w:cs="Times New Roman" w:eastAsiaTheme="minorEastAsia"/>
          <w:color w:val="000000"/>
          <w:sz w:val="22"/>
          <w:szCs w:val="22"/>
          <w:lang w:eastAsia="zh-CN" w:bidi="ar"/>
        </w:rPr>
        <w:t xml:space="preserve">] </w:t>
      </w:r>
    </w:p>
    <w:p w14:paraId="10578B82">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[16] Bonomi, L.; Marchini, G.; Marraffa, M.; Bernardi, P.; Morbio, R.; Varotto, A. Vascular risk factors for primary open angle glaucoma: The Egna-Neumarkt Study. </w:t>
      </w:r>
      <w:r>
        <w:rPr>
          <w:rFonts w:hint="default" w:ascii="Times New Roman" w:hAnsi="Times New Roman" w:cs="Times New Roman" w:eastAsiaTheme="minorEastAsia"/>
          <w:i/>
          <w:iCs/>
          <w:color w:val="000000"/>
          <w:sz w:val="22"/>
          <w:szCs w:val="22"/>
          <w:lang w:eastAsia="zh-CN" w:bidi="ar"/>
        </w:rPr>
        <w:t xml:space="preserve">Ophthalmology </w:t>
      </w:r>
      <w:r>
        <w:rPr>
          <w:rFonts w:hint="default" w:ascii="Times New Roman" w:hAnsi="Times New Roman" w:cs="Times New Roman" w:eastAsiaTheme="minorEastAsia"/>
          <w:b/>
          <w:bCs/>
          <w:color w:val="000000"/>
          <w:sz w:val="22"/>
          <w:szCs w:val="22"/>
          <w:lang w:eastAsia="zh-CN" w:bidi="ar"/>
        </w:rPr>
        <w:t>2000</w:t>
      </w:r>
      <w:r>
        <w:rPr>
          <w:rFonts w:hint="default" w:ascii="Times New Roman" w:hAnsi="Times New Roman" w:cs="Times New Roman" w:eastAsiaTheme="minorEastAsia"/>
          <w:color w:val="000000"/>
          <w:sz w:val="22"/>
          <w:szCs w:val="22"/>
          <w:lang w:eastAsia="zh-CN" w:bidi="ar"/>
        </w:rPr>
        <w:t xml:space="preserve">, </w:t>
      </w:r>
      <w:r>
        <w:rPr>
          <w:rFonts w:hint="default" w:ascii="Times New Roman" w:hAnsi="Times New Roman" w:cs="Times New Roman" w:eastAsiaTheme="minorEastAsia"/>
          <w:i/>
          <w:iCs/>
          <w:color w:val="000000"/>
          <w:sz w:val="22"/>
          <w:szCs w:val="22"/>
          <w:lang w:eastAsia="zh-CN" w:bidi="ar"/>
        </w:rPr>
        <w:t>107</w:t>
      </w:r>
      <w:r>
        <w:rPr>
          <w:rFonts w:hint="default" w:ascii="Times New Roman" w:hAnsi="Times New Roman" w:cs="Times New Roman" w:eastAsiaTheme="minorEastAsia"/>
          <w:color w:val="000000"/>
          <w:sz w:val="22"/>
          <w:szCs w:val="22"/>
          <w:lang w:eastAsia="zh-CN" w:bidi="ar"/>
        </w:rPr>
        <w:t>, 1287–1293. [</w:t>
      </w:r>
      <w:r>
        <w:rPr>
          <w:rFonts w:hint="default" w:ascii="Times New Roman" w:hAnsi="Times New Roman" w:cs="Times New Roman" w:eastAsiaTheme="minorEastAsia"/>
          <w:color w:val="0875B7"/>
          <w:sz w:val="22"/>
          <w:szCs w:val="22"/>
          <w:lang w:eastAsia="zh-CN" w:bidi="ar"/>
        </w:rPr>
        <w:t>CrossRef</w:t>
      </w:r>
      <w:r>
        <w:rPr>
          <w:rFonts w:hint="default" w:ascii="Times New Roman" w:hAnsi="Times New Roman" w:cs="Times New Roman" w:eastAsiaTheme="minorEastAsia"/>
          <w:color w:val="000000"/>
          <w:sz w:val="22"/>
          <w:szCs w:val="22"/>
          <w:lang w:eastAsia="zh-CN" w:bidi="ar"/>
        </w:rPr>
        <w:t xml:space="preserve">] </w:t>
      </w:r>
    </w:p>
    <w:p w14:paraId="0804E704">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[17] Safran, C.; Bloomrosen, M.; Hammond, W.E.; Labkoff, S.; Markel-Fox, S.; Tang, P.C.; Detmer, D.E.; Expert, P. Toward a national framework for the secondary use of health data: An American Medical Informatics Association White Paper. </w:t>
      </w:r>
      <w:r>
        <w:rPr>
          <w:rFonts w:hint="default" w:ascii="Times New Roman" w:hAnsi="Times New Roman" w:cs="Times New Roman" w:eastAsiaTheme="minorEastAsia"/>
          <w:i/>
          <w:iCs/>
          <w:color w:val="000000"/>
          <w:sz w:val="22"/>
          <w:szCs w:val="22"/>
          <w:lang w:eastAsia="zh-CN" w:bidi="ar"/>
        </w:rPr>
        <w:t xml:space="preserve">J. Am. Med. Inf. Assoc. </w:t>
      </w:r>
      <w:r>
        <w:rPr>
          <w:rFonts w:hint="default" w:ascii="Times New Roman" w:hAnsi="Times New Roman" w:cs="Times New Roman" w:eastAsiaTheme="minorEastAsia"/>
          <w:b/>
          <w:bCs/>
          <w:color w:val="000000"/>
          <w:sz w:val="22"/>
          <w:szCs w:val="22"/>
          <w:lang w:eastAsia="zh-CN" w:bidi="ar"/>
        </w:rPr>
        <w:t>2007</w:t>
      </w:r>
      <w:r>
        <w:rPr>
          <w:rFonts w:hint="default" w:ascii="Times New Roman" w:hAnsi="Times New Roman" w:cs="Times New Roman" w:eastAsiaTheme="minorEastAsia"/>
          <w:color w:val="000000"/>
          <w:sz w:val="22"/>
          <w:szCs w:val="22"/>
          <w:lang w:eastAsia="zh-CN" w:bidi="ar"/>
        </w:rPr>
        <w:t xml:space="preserve">, </w:t>
      </w:r>
      <w:r>
        <w:rPr>
          <w:rFonts w:hint="default" w:ascii="Times New Roman" w:hAnsi="Times New Roman" w:cs="Times New Roman" w:eastAsiaTheme="minorEastAsia"/>
          <w:i/>
          <w:iCs/>
          <w:color w:val="000000"/>
          <w:sz w:val="22"/>
          <w:szCs w:val="22"/>
          <w:lang w:eastAsia="zh-CN" w:bidi="ar"/>
        </w:rPr>
        <w:t>14</w:t>
      </w:r>
      <w:r>
        <w:rPr>
          <w:rFonts w:hint="default" w:ascii="Times New Roman" w:hAnsi="Times New Roman" w:cs="Times New Roman" w:eastAsiaTheme="minorEastAsia"/>
          <w:color w:val="000000"/>
          <w:sz w:val="22"/>
          <w:szCs w:val="22"/>
          <w:lang w:eastAsia="zh-CN" w:bidi="ar"/>
        </w:rPr>
        <w:t>, 1–9. [</w:t>
      </w:r>
      <w:r>
        <w:rPr>
          <w:rFonts w:hint="default" w:ascii="Times New Roman" w:hAnsi="Times New Roman" w:cs="Times New Roman" w:eastAsiaTheme="minorEastAsia"/>
          <w:color w:val="0875B7"/>
          <w:sz w:val="22"/>
          <w:szCs w:val="22"/>
          <w:lang w:eastAsia="zh-CN" w:bidi="ar"/>
        </w:rPr>
        <w:t>CrossRef</w:t>
      </w:r>
      <w:r>
        <w:rPr>
          <w:rFonts w:hint="default" w:ascii="Times New Roman" w:hAnsi="Times New Roman" w:cs="Times New Roman" w:eastAsiaTheme="minorEastAsia"/>
          <w:color w:val="000000"/>
          <w:sz w:val="22"/>
          <w:szCs w:val="22"/>
          <w:lang w:eastAsia="zh-CN" w:bidi="ar"/>
        </w:rPr>
        <w:t xml:space="preserve">] </w:t>
      </w:r>
    </w:p>
    <w:p w14:paraId="094477E6">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[18] Kuperman, G.J.; Bobb, A.; Payne, T.H.; Avery, A.J.; Gandhi, T.K.; Burns, G.; Classen, D.C.; Bates, D.W. Medication-related clinical decision support in computerized provider order entry systems: A review. </w:t>
      </w:r>
      <w:r>
        <w:rPr>
          <w:rFonts w:hint="default" w:ascii="Times New Roman" w:hAnsi="Times New Roman" w:cs="Times New Roman" w:eastAsiaTheme="minorEastAsia"/>
          <w:i/>
          <w:iCs/>
          <w:color w:val="000000"/>
          <w:sz w:val="22"/>
          <w:szCs w:val="22"/>
          <w:lang w:eastAsia="zh-CN" w:bidi="ar"/>
        </w:rPr>
        <w:t xml:space="preserve">J. Am. Med. Inf. Assoc. </w:t>
      </w:r>
      <w:r>
        <w:rPr>
          <w:rFonts w:hint="default" w:ascii="Times New Roman" w:hAnsi="Times New Roman" w:cs="Times New Roman" w:eastAsiaTheme="minorEastAsia"/>
          <w:b/>
          <w:bCs/>
          <w:color w:val="000000"/>
          <w:sz w:val="22"/>
          <w:szCs w:val="22"/>
          <w:lang w:eastAsia="zh-CN" w:bidi="ar"/>
        </w:rPr>
        <w:t>2007</w:t>
      </w:r>
      <w:r>
        <w:rPr>
          <w:rFonts w:hint="default" w:ascii="Times New Roman" w:hAnsi="Times New Roman" w:cs="Times New Roman" w:eastAsiaTheme="minorEastAsia"/>
          <w:color w:val="000000"/>
          <w:sz w:val="22"/>
          <w:szCs w:val="22"/>
          <w:lang w:eastAsia="zh-CN" w:bidi="ar"/>
        </w:rPr>
        <w:t xml:space="preserve">, </w:t>
      </w:r>
      <w:r>
        <w:rPr>
          <w:rFonts w:hint="default" w:ascii="Times New Roman" w:hAnsi="Times New Roman" w:cs="Times New Roman" w:eastAsiaTheme="minorEastAsia"/>
          <w:i/>
          <w:iCs/>
          <w:color w:val="000000"/>
          <w:sz w:val="22"/>
          <w:szCs w:val="22"/>
          <w:lang w:eastAsia="zh-CN" w:bidi="ar"/>
        </w:rPr>
        <w:t>14</w:t>
      </w:r>
      <w:r>
        <w:rPr>
          <w:rFonts w:hint="default" w:ascii="Times New Roman" w:hAnsi="Times New Roman" w:cs="Times New Roman" w:eastAsiaTheme="minorEastAsia"/>
          <w:color w:val="000000"/>
          <w:sz w:val="22"/>
          <w:szCs w:val="22"/>
          <w:lang w:eastAsia="zh-CN" w:bidi="ar"/>
        </w:rPr>
        <w:t>, 29–40. [</w:t>
      </w:r>
      <w:r>
        <w:rPr>
          <w:rFonts w:hint="default" w:ascii="Times New Roman" w:hAnsi="Times New Roman" w:cs="Times New Roman" w:eastAsiaTheme="minorEastAsia"/>
          <w:color w:val="0875B7"/>
          <w:sz w:val="22"/>
          <w:szCs w:val="22"/>
          <w:lang w:eastAsia="zh-CN" w:bidi="ar"/>
        </w:rPr>
        <w:t>CrossRef</w:t>
      </w:r>
      <w:r>
        <w:rPr>
          <w:rFonts w:hint="default" w:ascii="Times New Roman" w:hAnsi="Times New Roman" w:cs="Times New Roman" w:eastAsiaTheme="minorEastAsia"/>
          <w:color w:val="000000"/>
          <w:sz w:val="22"/>
          <w:szCs w:val="22"/>
          <w:lang w:eastAsia="zh-CN" w:bidi="ar"/>
        </w:rPr>
        <w:t xml:space="preserve">] </w:t>
      </w:r>
    </w:p>
    <w:p w14:paraId="4579A1C4">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[19] Jiang, M.; Chen, Y.; Liu, M.; Rosenbloom, S.T.; Mani, S.; Denny, J.C.; Xu, H. A study of machine-learning-based approaches to extract clinical entities and their assertions from discharge summaries. </w:t>
      </w:r>
      <w:r>
        <w:rPr>
          <w:rFonts w:hint="default" w:ascii="Times New Roman" w:hAnsi="Times New Roman" w:cs="Times New Roman" w:eastAsiaTheme="minorEastAsia"/>
          <w:i/>
          <w:iCs/>
          <w:color w:val="000000"/>
          <w:sz w:val="22"/>
          <w:szCs w:val="22"/>
          <w:lang w:eastAsia="zh-CN" w:bidi="ar"/>
        </w:rPr>
        <w:t xml:space="preserve">J. Am. Med. Inf. Assoc. </w:t>
      </w:r>
      <w:r>
        <w:rPr>
          <w:rFonts w:hint="default" w:ascii="Times New Roman" w:hAnsi="Times New Roman" w:cs="Times New Roman" w:eastAsiaTheme="minorEastAsia"/>
          <w:b/>
          <w:bCs/>
          <w:color w:val="000000"/>
          <w:sz w:val="22"/>
          <w:szCs w:val="22"/>
          <w:lang w:eastAsia="zh-CN" w:bidi="ar"/>
        </w:rPr>
        <w:t>2011</w:t>
      </w:r>
      <w:r>
        <w:rPr>
          <w:rFonts w:hint="default" w:ascii="Times New Roman" w:hAnsi="Times New Roman" w:cs="Times New Roman" w:eastAsiaTheme="minorEastAsia"/>
          <w:color w:val="000000"/>
          <w:sz w:val="22"/>
          <w:szCs w:val="22"/>
          <w:lang w:eastAsia="zh-CN" w:bidi="ar"/>
        </w:rPr>
        <w:t xml:space="preserve">, </w:t>
      </w:r>
      <w:r>
        <w:rPr>
          <w:rFonts w:hint="default" w:ascii="Times New Roman" w:hAnsi="Times New Roman" w:cs="Times New Roman" w:eastAsiaTheme="minorEastAsia"/>
          <w:i/>
          <w:iCs/>
          <w:color w:val="000000"/>
          <w:sz w:val="22"/>
          <w:szCs w:val="22"/>
          <w:lang w:eastAsia="zh-CN" w:bidi="ar"/>
        </w:rPr>
        <w:t>18</w:t>
      </w:r>
      <w:r>
        <w:rPr>
          <w:rFonts w:hint="default" w:ascii="Times New Roman" w:hAnsi="Times New Roman" w:cs="Times New Roman" w:eastAsiaTheme="minorEastAsia"/>
          <w:color w:val="000000"/>
          <w:sz w:val="22"/>
          <w:szCs w:val="22"/>
          <w:lang w:eastAsia="zh-CN" w:bidi="ar"/>
        </w:rPr>
        <w:t>, 601–606. [</w:t>
      </w:r>
      <w:r>
        <w:rPr>
          <w:rFonts w:hint="default" w:ascii="Times New Roman" w:hAnsi="Times New Roman" w:cs="Times New Roman" w:eastAsiaTheme="minorEastAsia"/>
          <w:color w:val="0875B7"/>
          <w:sz w:val="22"/>
          <w:szCs w:val="22"/>
          <w:lang w:eastAsia="zh-CN" w:bidi="ar"/>
        </w:rPr>
        <w:t>CrossRef</w:t>
      </w:r>
      <w:r>
        <w:rPr>
          <w:rFonts w:hint="default" w:ascii="Times New Roman" w:hAnsi="Times New Roman" w:cs="Times New Roman" w:eastAsiaTheme="minorEastAsia"/>
          <w:color w:val="000000"/>
          <w:sz w:val="22"/>
          <w:szCs w:val="22"/>
          <w:lang w:eastAsia="zh-CN" w:bidi="ar"/>
        </w:rPr>
        <w:t xml:space="preserve">] </w:t>
      </w:r>
    </w:p>
    <w:p w14:paraId="61251F37">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[20] Persell, S.D.; Dunne, A.P.; Lloyd-Jones, D.M.; Baker, D.W. Electronic health record-based cardiac risk assessment and identification of unmet preventive needs. </w:t>
      </w:r>
      <w:r>
        <w:rPr>
          <w:rFonts w:hint="default" w:ascii="Times New Roman" w:hAnsi="Times New Roman" w:cs="Times New Roman" w:eastAsiaTheme="minorEastAsia"/>
          <w:i/>
          <w:iCs/>
          <w:color w:val="000000"/>
          <w:sz w:val="22"/>
          <w:szCs w:val="22"/>
          <w:lang w:eastAsia="zh-CN" w:bidi="ar"/>
        </w:rPr>
        <w:t xml:space="preserve">Med. Care </w:t>
      </w:r>
      <w:r>
        <w:rPr>
          <w:rFonts w:hint="default" w:ascii="Times New Roman" w:hAnsi="Times New Roman" w:cs="Times New Roman" w:eastAsiaTheme="minorEastAsia"/>
          <w:b/>
          <w:bCs/>
          <w:color w:val="000000"/>
          <w:sz w:val="22"/>
          <w:szCs w:val="22"/>
          <w:lang w:eastAsia="zh-CN" w:bidi="ar"/>
        </w:rPr>
        <w:t>2009</w:t>
      </w:r>
      <w:r>
        <w:rPr>
          <w:rFonts w:hint="default" w:ascii="Times New Roman" w:hAnsi="Times New Roman" w:cs="Times New Roman" w:eastAsiaTheme="minorEastAsia"/>
          <w:color w:val="000000"/>
          <w:sz w:val="22"/>
          <w:szCs w:val="22"/>
          <w:lang w:eastAsia="zh-CN" w:bidi="ar"/>
        </w:rPr>
        <w:t xml:space="preserve">, </w:t>
      </w:r>
      <w:r>
        <w:rPr>
          <w:rFonts w:hint="default" w:ascii="Times New Roman" w:hAnsi="Times New Roman" w:cs="Times New Roman" w:eastAsiaTheme="minorEastAsia"/>
          <w:i/>
          <w:iCs/>
          <w:color w:val="000000"/>
          <w:sz w:val="22"/>
          <w:szCs w:val="22"/>
          <w:lang w:eastAsia="zh-CN" w:bidi="ar"/>
        </w:rPr>
        <w:t>47</w:t>
      </w:r>
      <w:r>
        <w:rPr>
          <w:rFonts w:hint="default" w:ascii="Times New Roman" w:hAnsi="Times New Roman" w:cs="Times New Roman" w:eastAsiaTheme="minorEastAsia"/>
          <w:color w:val="000000"/>
          <w:sz w:val="22"/>
          <w:szCs w:val="22"/>
          <w:lang w:eastAsia="zh-CN" w:bidi="ar"/>
        </w:rPr>
        <w:t>, 418–424. [</w:t>
      </w:r>
      <w:r>
        <w:rPr>
          <w:rFonts w:hint="default" w:ascii="Times New Roman" w:hAnsi="Times New Roman" w:cs="Times New Roman" w:eastAsiaTheme="minorEastAsia"/>
          <w:color w:val="0875B7"/>
          <w:sz w:val="22"/>
          <w:szCs w:val="22"/>
          <w:lang w:eastAsia="zh-CN" w:bidi="ar"/>
        </w:rPr>
        <w:t>CrossRef</w:t>
      </w:r>
      <w:r>
        <w:rPr>
          <w:rFonts w:hint="default" w:ascii="Times New Roman" w:hAnsi="Times New Roman" w:cs="Times New Roman" w:eastAsiaTheme="minorEastAsia"/>
          <w:color w:val="000000"/>
          <w:sz w:val="22"/>
          <w:szCs w:val="22"/>
          <w:lang w:eastAsia="zh-CN" w:bidi="ar"/>
        </w:rPr>
        <w:t xml:space="preserve">] </w:t>
      </w:r>
    </w:p>
    <w:p w14:paraId="5F4A8099">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[21] Kononenko, I. Machine learning for medical diagnosis: History, state of the art and perspective. </w:t>
      </w:r>
      <w:r>
        <w:rPr>
          <w:rFonts w:hint="default" w:ascii="Times New Roman" w:hAnsi="Times New Roman" w:cs="Times New Roman" w:eastAsiaTheme="minorEastAsia"/>
          <w:i/>
          <w:iCs/>
          <w:color w:val="000000"/>
          <w:sz w:val="22"/>
          <w:szCs w:val="22"/>
          <w:lang w:eastAsia="zh-CN" w:bidi="ar"/>
        </w:rPr>
        <w:t xml:space="preserve">Artif. Intell. Med. </w:t>
      </w:r>
      <w:r>
        <w:rPr>
          <w:rFonts w:hint="default" w:ascii="Times New Roman" w:hAnsi="Times New Roman" w:cs="Times New Roman" w:eastAsiaTheme="minorEastAsia"/>
          <w:b/>
          <w:bCs/>
          <w:color w:val="000000"/>
          <w:sz w:val="22"/>
          <w:szCs w:val="22"/>
          <w:lang w:eastAsia="zh-CN" w:bidi="ar"/>
        </w:rPr>
        <w:t>2001</w:t>
      </w:r>
      <w:r>
        <w:rPr>
          <w:rFonts w:hint="default" w:ascii="Times New Roman" w:hAnsi="Times New Roman" w:cs="Times New Roman" w:eastAsiaTheme="minorEastAsia"/>
          <w:color w:val="000000"/>
          <w:sz w:val="22"/>
          <w:szCs w:val="22"/>
          <w:lang w:eastAsia="zh-CN" w:bidi="ar"/>
        </w:rPr>
        <w:t xml:space="preserve">, </w:t>
      </w:r>
      <w:r>
        <w:rPr>
          <w:rFonts w:hint="default" w:ascii="Times New Roman" w:hAnsi="Times New Roman" w:cs="Times New Roman" w:eastAsiaTheme="minorEastAsia"/>
          <w:i/>
          <w:iCs/>
          <w:color w:val="000000"/>
          <w:sz w:val="22"/>
          <w:szCs w:val="22"/>
          <w:lang w:eastAsia="zh-CN" w:bidi="ar"/>
        </w:rPr>
        <w:t>23</w:t>
      </w:r>
      <w:r>
        <w:rPr>
          <w:rFonts w:hint="default" w:ascii="Times New Roman" w:hAnsi="Times New Roman" w:cs="Times New Roman" w:eastAsiaTheme="minorEastAsia"/>
          <w:color w:val="000000"/>
          <w:sz w:val="22"/>
          <w:szCs w:val="22"/>
          <w:lang w:eastAsia="zh-CN" w:bidi="ar"/>
        </w:rPr>
        <w:t>, 89–109. [</w:t>
      </w:r>
      <w:r>
        <w:rPr>
          <w:rFonts w:hint="default" w:ascii="Times New Roman" w:hAnsi="Times New Roman" w:cs="Times New Roman" w:eastAsiaTheme="minorEastAsia"/>
          <w:color w:val="0875B7"/>
          <w:sz w:val="22"/>
          <w:szCs w:val="22"/>
          <w:lang w:eastAsia="zh-CN" w:bidi="ar"/>
        </w:rPr>
        <w:t>CrossRef</w:t>
      </w:r>
      <w:r>
        <w:rPr>
          <w:rFonts w:hint="default" w:ascii="Times New Roman" w:hAnsi="Times New Roman" w:cs="Times New Roman" w:eastAsiaTheme="minorEastAsia"/>
          <w:color w:val="000000"/>
          <w:sz w:val="22"/>
          <w:szCs w:val="22"/>
          <w:lang w:eastAsia="zh-CN" w:bidi="ar"/>
        </w:rPr>
        <w:t>] [</w:t>
      </w:r>
      <w:r>
        <w:rPr>
          <w:rFonts w:hint="default" w:ascii="Times New Roman" w:hAnsi="Times New Roman" w:cs="Times New Roman" w:eastAsiaTheme="minorEastAsia"/>
          <w:color w:val="0875B7"/>
          <w:sz w:val="22"/>
          <w:szCs w:val="22"/>
          <w:lang w:eastAsia="zh-CN" w:bidi="ar"/>
        </w:rPr>
        <w:t>PubMed</w:t>
      </w:r>
      <w:r>
        <w:rPr>
          <w:rFonts w:hint="default" w:ascii="Times New Roman" w:hAnsi="Times New Roman" w:cs="Times New Roman" w:eastAsiaTheme="minorEastAsia"/>
          <w:color w:val="000000"/>
          <w:sz w:val="22"/>
          <w:szCs w:val="22"/>
          <w:lang w:eastAsia="zh-CN" w:bidi="ar"/>
        </w:rPr>
        <w:t xml:space="preserve">] </w:t>
      </w:r>
    </w:p>
    <w:p w14:paraId="4501741C">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[22] Bertsimas, D.; Bjarnadóttir, M.V.; Kane, M.A.; Kryder, J.C.; Pandey, R.; Vempala, S.; Wang, G. Algorithmic prediction of healthcare costs. </w:t>
      </w:r>
      <w:r>
        <w:rPr>
          <w:rFonts w:hint="default" w:ascii="Times New Roman" w:hAnsi="Times New Roman" w:cs="Times New Roman" w:eastAsiaTheme="minorEastAsia"/>
          <w:i/>
          <w:iCs/>
          <w:color w:val="000000"/>
          <w:sz w:val="22"/>
          <w:szCs w:val="22"/>
          <w:lang w:eastAsia="zh-CN" w:bidi="ar"/>
        </w:rPr>
        <w:t xml:space="preserve">Oper. Res. </w:t>
      </w:r>
      <w:r>
        <w:rPr>
          <w:rFonts w:hint="default" w:ascii="Times New Roman" w:hAnsi="Times New Roman" w:cs="Times New Roman" w:eastAsiaTheme="minorEastAsia"/>
          <w:b/>
          <w:bCs/>
          <w:color w:val="000000"/>
          <w:sz w:val="22"/>
          <w:szCs w:val="22"/>
          <w:lang w:eastAsia="zh-CN" w:bidi="ar"/>
        </w:rPr>
        <w:t>2008</w:t>
      </w:r>
      <w:r>
        <w:rPr>
          <w:rFonts w:hint="default" w:ascii="Times New Roman" w:hAnsi="Times New Roman" w:cs="Times New Roman" w:eastAsiaTheme="minorEastAsia"/>
          <w:color w:val="000000"/>
          <w:sz w:val="22"/>
          <w:szCs w:val="22"/>
          <w:lang w:eastAsia="zh-CN" w:bidi="ar"/>
        </w:rPr>
        <w:t xml:space="preserve">, </w:t>
      </w:r>
      <w:r>
        <w:rPr>
          <w:rFonts w:hint="default" w:ascii="Times New Roman" w:hAnsi="Times New Roman" w:cs="Times New Roman" w:eastAsiaTheme="minorEastAsia"/>
          <w:i/>
          <w:iCs/>
          <w:color w:val="000000"/>
          <w:sz w:val="22"/>
          <w:szCs w:val="22"/>
          <w:lang w:eastAsia="zh-CN" w:bidi="ar"/>
        </w:rPr>
        <w:t>56</w:t>
      </w:r>
      <w:r>
        <w:rPr>
          <w:rFonts w:hint="default" w:ascii="Times New Roman" w:hAnsi="Times New Roman" w:cs="Times New Roman" w:eastAsiaTheme="minorEastAsia"/>
          <w:color w:val="000000"/>
          <w:sz w:val="22"/>
          <w:szCs w:val="22"/>
          <w:lang w:eastAsia="zh-CN" w:bidi="ar"/>
        </w:rPr>
        <w:t>, 1382–1392. [</w:t>
      </w:r>
      <w:r>
        <w:rPr>
          <w:rFonts w:hint="default" w:ascii="Times New Roman" w:hAnsi="Times New Roman" w:cs="Times New Roman" w:eastAsiaTheme="minorEastAsia"/>
          <w:color w:val="0875B7"/>
          <w:sz w:val="22"/>
          <w:szCs w:val="22"/>
          <w:lang w:eastAsia="zh-CN" w:bidi="ar"/>
        </w:rPr>
        <w:t>CrossRef</w:t>
      </w:r>
      <w:r>
        <w:rPr>
          <w:rFonts w:hint="default" w:ascii="Times New Roman" w:hAnsi="Times New Roman" w:cs="Times New Roman" w:eastAsiaTheme="minorEastAsia"/>
          <w:color w:val="000000"/>
          <w:sz w:val="22"/>
          <w:szCs w:val="22"/>
          <w:lang w:eastAsia="zh-CN" w:bidi="ar"/>
        </w:rPr>
        <w:t xml:space="preserve">] </w:t>
      </w:r>
    </w:p>
    <w:p w14:paraId="6FC3B4E0">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[23] Akter, N.; Fletcher, J.; Perry, S.; Simunovic, M.P.; Briggs, N.; Roy, M. Glaucoma diagnosis using multi-feature analysis and a deep learning technique. </w:t>
      </w:r>
      <w:r>
        <w:rPr>
          <w:rFonts w:hint="default" w:ascii="Times New Roman" w:hAnsi="Times New Roman" w:cs="Times New Roman" w:eastAsiaTheme="minorEastAsia"/>
          <w:i/>
          <w:iCs/>
          <w:color w:val="000000"/>
          <w:sz w:val="22"/>
          <w:szCs w:val="22"/>
          <w:lang w:eastAsia="zh-CN" w:bidi="ar"/>
        </w:rPr>
        <w:t xml:space="preserve">Sci. Rep. </w:t>
      </w:r>
      <w:r>
        <w:rPr>
          <w:rFonts w:hint="default" w:ascii="Times New Roman" w:hAnsi="Times New Roman" w:cs="Times New Roman" w:eastAsiaTheme="minorEastAsia"/>
          <w:b/>
          <w:bCs/>
          <w:color w:val="000000"/>
          <w:sz w:val="22"/>
          <w:szCs w:val="22"/>
          <w:lang w:eastAsia="zh-CN" w:bidi="ar"/>
        </w:rPr>
        <w:t>2022</w:t>
      </w:r>
      <w:r>
        <w:rPr>
          <w:rFonts w:hint="default" w:ascii="Times New Roman" w:hAnsi="Times New Roman" w:cs="Times New Roman" w:eastAsiaTheme="minorEastAsia"/>
          <w:color w:val="000000"/>
          <w:sz w:val="22"/>
          <w:szCs w:val="22"/>
          <w:lang w:eastAsia="zh-CN" w:bidi="ar"/>
        </w:rPr>
        <w:t xml:space="preserve">, </w:t>
      </w:r>
      <w:r>
        <w:rPr>
          <w:rFonts w:hint="default" w:ascii="Times New Roman" w:hAnsi="Times New Roman" w:cs="Times New Roman" w:eastAsiaTheme="minorEastAsia"/>
          <w:i/>
          <w:iCs/>
          <w:color w:val="000000"/>
          <w:sz w:val="22"/>
          <w:szCs w:val="22"/>
          <w:lang w:eastAsia="zh-CN" w:bidi="ar"/>
        </w:rPr>
        <w:t>12</w:t>
      </w:r>
      <w:r>
        <w:rPr>
          <w:rFonts w:hint="default" w:ascii="Times New Roman" w:hAnsi="Times New Roman" w:cs="Times New Roman" w:eastAsiaTheme="minorEastAsia"/>
          <w:color w:val="000000"/>
          <w:sz w:val="22"/>
          <w:szCs w:val="22"/>
          <w:lang w:eastAsia="zh-CN" w:bidi="ar"/>
        </w:rPr>
        <w:t>, 8064. [</w:t>
      </w:r>
      <w:r>
        <w:rPr>
          <w:rFonts w:hint="default" w:ascii="Times New Roman" w:hAnsi="Times New Roman" w:cs="Times New Roman" w:eastAsiaTheme="minorEastAsia"/>
          <w:color w:val="0875B7"/>
          <w:sz w:val="22"/>
          <w:szCs w:val="22"/>
          <w:lang w:eastAsia="zh-CN" w:bidi="ar"/>
        </w:rPr>
        <w:t>CrossRef</w:t>
      </w:r>
      <w:r>
        <w:rPr>
          <w:rFonts w:hint="default" w:ascii="Times New Roman" w:hAnsi="Times New Roman" w:cs="Times New Roman" w:eastAsiaTheme="minorEastAsia"/>
          <w:color w:val="000000"/>
          <w:sz w:val="22"/>
          <w:szCs w:val="22"/>
          <w:lang w:eastAsia="zh-CN" w:bidi="ar"/>
        </w:rPr>
        <w:t xml:space="preserve">] </w:t>
      </w:r>
    </w:p>
    <w:p w14:paraId="2E7E9CB3">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[24] Saleh, E.; Blaszczynski, J.; Moreno, A.; Valls, A.; Romero-Aroca, P.; de la Riva-Fernandez, S.; Slowinski, R. Learning ensemble classifiers for diabetic retinopathy assessment. </w:t>
      </w:r>
      <w:r>
        <w:rPr>
          <w:rFonts w:hint="default" w:ascii="Times New Roman" w:hAnsi="Times New Roman" w:cs="Times New Roman" w:eastAsiaTheme="minorEastAsia"/>
          <w:i/>
          <w:iCs/>
          <w:color w:val="000000"/>
          <w:sz w:val="22"/>
          <w:szCs w:val="22"/>
          <w:lang w:eastAsia="zh-CN" w:bidi="ar"/>
        </w:rPr>
        <w:t xml:space="preserve">Artif. Intell. Med. </w:t>
      </w:r>
      <w:r>
        <w:rPr>
          <w:rFonts w:hint="default" w:ascii="Times New Roman" w:hAnsi="Times New Roman" w:cs="Times New Roman" w:eastAsiaTheme="minorEastAsia"/>
          <w:b/>
          <w:bCs/>
          <w:color w:val="000000"/>
          <w:sz w:val="22"/>
          <w:szCs w:val="22"/>
          <w:lang w:eastAsia="zh-CN" w:bidi="ar"/>
        </w:rPr>
        <w:t>2018</w:t>
      </w:r>
      <w:r>
        <w:rPr>
          <w:rFonts w:hint="default" w:ascii="Times New Roman" w:hAnsi="Times New Roman" w:cs="Times New Roman" w:eastAsiaTheme="minorEastAsia"/>
          <w:color w:val="000000"/>
          <w:sz w:val="22"/>
          <w:szCs w:val="22"/>
          <w:lang w:eastAsia="zh-CN" w:bidi="ar"/>
        </w:rPr>
        <w:t xml:space="preserve">, </w:t>
      </w:r>
      <w:r>
        <w:rPr>
          <w:rFonts w:hint="default" w:ascii="Times New Roman" w:hAnsi="Times New Roman" w:cs="Times New Roman" w:eastAsiaTheme="minorEastAsia"/>
          <w:i/>
          <w:iCs/>
          <w:color w:val="000000"/>
          <w:sz w:val="22"/>
          <w:szCs w:val="22"/>
          <w:lang w:eastAsia="zh-CN" w:bidi="ar"/>
        </w:rPr>
        <w:t>85</w:t>
      </w:r>
      <w:r>
        <w:rPr>
          <w:rFonts w:hint="default" w:ascii="Times New Roman" w:hAnsi="Times New Roman" w:cs="Times New Roman" w:eastAsiaTheme="minorEastAsia"/>
          <w:color w:val="000000"/>
          <w:sz w:val="22"/>
          <w:szCs w:val="22"/>
          <w:lang w:eastAsia="zh-CN" w:bidi="ar"/>
        </w:rPr>
        <w:t>, 50–63. [</w:t>
      </w:r>
      <w:r>
        <w:rPr>
          <w:rFonts w:hint="default" w:ascii="Times New Roman" w:hAnsi="Times New Roman" w:cs="Times New Roman" w:eastAsiaTheme="minorEastAsia"/>
          <w:color w:val="0875B7"/>
          <w:sz w:val="22"/>
          <w:szCs w:val="22"/>
          <w:lang w:eastAsia="zh-CN" w:bidi="ar"/>
        </w:rPr>
        <w:t>CrossRef</w:t>
      </w:r>
      <w:r>
        <w:rPr>
          <w:rFonts w:hint="default" w:ascii="Times New Roman" w:hAnsi="Times New Roman" w:cs="Times New Roman" w:eastAsiaTheme="minorEastAsia"/>
          <w:color w:val="000000"/>
          <w:sz w:val="22"/>
          <w:szCs w:val="22"/>
          <w:lang w:eastAsia="zh-CN" w:bidi="ar"/>
        </w:rPr>
        <w:t xml:space="preserve">] </w:t>
      </w:r>
    </w:p>
    <w:p w14:paraId="6C5B483A">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[25] Fraccaro, P.; Nicolo, M.; Bonetto, M.; Giacomini, M.; Weller, P.; Traverso, C.E.; Prosperi, M.; OSullivan, D. Combining macula clinical signs and patient characteristics for age-related macular degeneration diagnosis: A machine learning approach. </w:t>
      </w:r>
      <w:r>
        <w:rPr>
          <w:rFonts w:hint="default" w:ascii="Times New Roman" w:hAnsi="Times New Roman" w:cs="Times New Roman" w:eastAsiaTheme="minorEastAsia"/>
          <w:i/>
          <w:iCs/>
          <w:color w:val="000000"/>
          <w:sz w:val="22"/>
          <w:szCs w:val="22"/>
          <w:lang w:eastAsia="zh-CN" w:bidi="ar"/>
        </w:rPr>
        <w:t xml:space="preserve">BMC </w:t>
      </w:r>
    </w:p>
    <w:p w14:paraId="55E9A3F4">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i/>
          <w:iCs/>
          <w:color w:val="000000"/>
          <w:sz w:val="22"/>
          <w:szCs w:val="22"/>
          <w:lang w:eastAsia="zh-CN" w:bidi="ar"/>
        </w:rPr>
        <w:t xml:space="preserve">Ophthalmol. </w:t>
      </w:r>
      <w:r>
        <w:rPr>
          <w:rFonts w:hint="default" w:ascii="Times New Roman" w:hAnsi="Times New Roman" w:cs="Times New Roman" w:eastAsiaTheme="minorEastAsia"/>
          <w:b/>
          <w:bCs/>
          <w:color w:val="000000"/>
          <w:sz w:val="22"/>
          <w:szCs w:val="22"/>
          <w:lang w:eastAsia="zh-CN" w:bidi="ar"/>
        </w:rPr>
        <w:t>2015</w:t>
      </w:r>
      <w:r>
        <w:rPr>
          <w:rFonts w:hint="default" w:ascii="Times New Roman" w:hAnsi="Times New Roman" w:cs="Times New Roman" w:eastAsiaTheme="minorEastAsia"/>
          <w:color w:val="000000"/>
          <w:sz w:val="22"/>
          <w:szCs w:val="22"/>
          <w:lang w:eastAsia="zh-CN" w:bidi="ar"/>
        </w:rPr>
        <w:t xml:space="preserve">, </w:t>
      </w:r>
      <w:r>
        <w:rPr>
          <w:rFonts w:hint="default" w:ascii="Times New Roman" w:hAnsi="Times New Roman" w:cs="Times New Roman" w:eastAsiaTheme="minorEastAsia"/>
          <w:i/>
          <w:iCs/>
          <w:color w:val="000000"/>
          <w:sz w:val="22"/>
          <w:szCs w:val="22"/>
          <w:lang w:eastAsia="zh-CN" w:bidi="ar"/>
        </w:rPr>
        <w:t>15</w:t>
      </w:r>
      <w:r>
        <w:rPr>
          <w:rFonts w:hint="default" w:ascii="Times New Roman" w:hAnsi="Times New Roman" w:cs="Times New Roman" w:eastAsiaTheme="minorEastAsia"/>
          <w:color w:val="000000"/>
          <w:sz w:val="22"/>
          <w:szCs w:val="22"/>
          <w:lang w:eastAsia="zh-CN" w:bidi="ar"/>
        </w:rPr>
        <w:t>, 10. [</w:t>
      </w:r>
      <w:r>
        <w:rPr>
          <w:rFonts w:hint="default" w:ascii="Times New Roman" w:hAnsi="Times New Roman" w:cs="Times New Roman" w:eastAsiaTheme="minorEastAsia"/>
          <w:color w:val="0875B7"/>
          <w:sz w:val="22"/>
          <w:szCs w:val="22"/>
          <w:lang w:eastAsia="zh-CN" w:bidi="ar"/>
        </w:rPr>
        <w:t>CrossRef</w:t>
      </w:r>
      <w:r>
        <w:rPr>
          <w:rFonts w:hint="default" w:ascii="Times New Roman" w:hAnsi="Times New Roman" w:cs="Times New Roman" w:eastAsiaTheme="minorEastAsia"/>
          <w:color w:val="000000"/>
          <w:sz w:val="22"/>
          <w:szCs w:val="22"/>
          <w:lang w:eastAsia="zh-CN" w:bidi="ar"/>
        </w:rPr>
        <w:t>] [</w:t>
      </w:r>
      <w:r>
        <w:rPr>
          <w:rFonts w:hint="default" w:ascii="Times New Roman" w:hAnsi="Times New Roman" w:cs="Times New Roman" w:eastAsiaTheme="minorEastAsia"/>
          <w:color w:val="0875B7"/>
          <w:sz w:val="22"/>
          <w:szCs w:val="22"/>
          <w:lang w:eastAsia="zh-CN" w:bidi="ar"/>
        </w:rPr>
        <w:t>PubMed</w:t>
      </w:r>
      <w:r>
        <w:rPr>
          <w:rFonts w:hint="default" w:ascii="Times New Roman" w:hAnsi="Times New Roman" w:cs="Times New Roman" w:eastAsiaTheme="minorEastAsia"/>
          <w:color w:val="000000"/>
          <w:sz w:val="22"/>
          <w:szCs w:val="22"/>
          <w:lang w:eastAsia="zh-CN" w:bidi="ar"/>
        </w:rPr>
        <w:t xml:space="preserve">] </w:t>
      </w:r>
    </w:p>
    <w:p w14:paraId="442615D9">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[26] Omkar, G.K.; Elaine, W.G.; David, F.; Landon, G. Evaluating machine learning classifers for glaucoma referral decision support in primary care settings. </w:t>
      </w:r>
      <w:r>
        <w:rPr>
          <w:rFonts w:hint="default" w:ascii="Times New Roman" w:hAnsi="Times New Roman" w:cs="Times New Roman" w:eastAsiaTheme="minorEastAsia"/>
          <w:i/>
          <w:iCs/>
          <w:color w:val="000000"/>
          <w:sz w:val="22"/>
          <w:szCs w:val="22"/>
          <w:lang w:eastAsia="zh-CN" w:bidi="ar"/>
        </w:rPr>
        <w:t xml:space="preserve">Sci. Rep. </w:t>
      </w:r>
      <w:r>
        <w:rPr>
          <w:rFonts w:hint="default" w:ascii="Times New Roman" w:hAnsi="Times New Roman" w:cs="Times New Roman" w:eastAsiaTheme="minorEastAsia"/>
          <w:b/>
          <w:bCs/>
          <w:color w:val="000000"/>
          <w:sz w:val="22"/>
          <w:szCs w:val="22"/>
          <w:lang w:eastAsia="zh-CN" w:bidi="ar"/>
        </w:rPr>
        <w:t>2022</w:t>
      </w:r>
      <w:r>
        <w:rPr>
          <w:rFonts w:hint="default" w:ascii="Times New Roman" w:hAnsi="Times New Roman" w:cs="Times New Roman" w:eastAsiaTheme="minorEastAsia"/>
          <w:color w:val="000000"/>
          <w:sz w:val="22"/>
          <w:szCs w:val="22"/>
          <w:lang w:eastAsia="zh-CN" w:bidi="ar"/>
        </w:rPr>
        <w:t xml:space="preserve">, </w:t>
      </w:r>
      <w:r>
        <w:rPr>
          <w:rFonts w:hint="default" w:ascii="Times New Roman" w:hAnsi="Times New Roman" w:cs="Times New Roman" w:eastAsiaTheme="minorEastAsia"/>
          <w:i/>
          <w:iCs/>
          <w:color w:val="000000"/>
          <w:sz w:val="22"/>
          <w:szCs w:val="22"/>
          <w:lang w:eastAsia="zh-CN" w:bidi="ar"/>
        </w:rPr>
        <w:t>12</w:t>
      </w:r>
      <w:r>
        <w:rPr>
          <w:rFonts w:hint="default" w:ascii="Times New Roman" w:hAnsi="Times New Roman" w:cs="Times New Roman" w:eastAsiaTheme="minorEastAsia"/>
          <w:color w:val="000000"/>
          <w:sz w:val="22"/>
          <w:szCs w:val="22"/>
          <w:lang w:eastAsia="zh-CN" w:bidi="ar"/>
        </w:rPr>
        <w:t xml:space="preserve">, 8518. </w:t>
      </w:r>
    </w:p>
    <w:p w14:paraId="575E4C03">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[27] Lundström, M.; Goh, P.-P.; Henry, Y.; Salowi, M.A.; Barry, P.; Manning, S.; Rosen, P.; Stenevi, U. The changing pattern of cataract surgery indications: A 5-year study of 2 cataract surgery databases. </w:t>
      </w:r>
      <w:r>
        <w:rPr>
          <w:rFonts w:hint="default" w:ascii="Times New Roman" w:hAnsi="Times New Roman" w:cs="Times New Roman" w:eastAsiaTheme="minorEastAsia"/>
          <w:i/>
          <w:iCs/>
          <w:color w:val="000000"/>
          <w:sz w:val="22"/>
          <w:szCs w:val="22"/>
          <w:lang w:eastAsia="zh-CN" w:bidi="ar"/>
        </w:rPr>
        <w:t xml:space="preserve">Ophthalmology </w:t>
      </w:r>
      <w:r>
        <w:rPr>
          <w:rFonts w:hint="default" w:ascii="Times New Roman" w:hAnsi="Times New Roman" w:cs="Times New Roman" w:eastAsiaTheme="minorEastAsia"/>
          <w:b/>
          <w:bCs/>
          <w:color w:val="000000"/>
          <w:sz w:val="22"/>
          <w:szCs w:val="22"/>
          <w:lang w:eastAsia="zh-CN" w:bidi="ar"/>
        </w:rPr>
        <w:t>2015</w:t>
      </w:r>
      <w:r>
        <w:rPr>
          <w:rFonts w:hint="default" w:ascii="Times New Roman" w:hAnsi="Times New Roman" w:cs="Times New Roman" w:eastAsiaTheme="minorEastAsia"/>
          <w:color w:val="000000"/>
          <w:sz w:val="22"/>
          <w:szCs w:val="22"/>
          <w:lang w:eastAsia="zh-CN" w:bidi="ar"/>
        </w:rPr>
        <w:t xml:space="preserve">, </w:t>
      </w:r>
      <w:r>
        <w:rPr>
          <w:rFonts w:hint="default" w:ascii="Times New Roman" w:hAnsi="Times New Roman" w:cs="Times New Roman" w:eastAsiaTheme="minorEastAsia"/>
          <w:i/>
          <w:iCs/>
          <w:color w:val="000000"/>
          <w:sz w:val="22"/>
          <w:szCs w:val="22"/>
          <w:lang w:eastAsia="zh-CN" w:bidi="ar"/>
        </w:rPr>
        <w:t>122</w:t>
      </w:r>
      <w:r>
        <w:rPr>
          <w:rFonts w:hint="default" w:ascii="Times New Roman" w:hAnsi="Times New Roman" w:cs="Times New Roman" w:eastAsiaTheme="minorEastAsia"/>
          <w:color w:val="000000"/>
          <w:sz w:val="22"/>
          <w:szCs w:val="22"/>
          <w:lang w:eastAsia="zh-CN" w:bidi="ar"/>
        </w:rPr>
        <w:t>, 31–38. [</w:t>
      </w:r>
      <w:r>
        <w:rPr>
          <w:rFonts w:hint="default" w:ascii="Times New Roman" w:hAnsi="Times New Roman" w:cs="Times New Roman" w:eastAsiaTheme="minorEastAsia"/>
          <w:color w:val="0875B7"/>
          <w:sz w:val="22"/>
          <w:szCs w:val="22"/>
          <w:lang w:eastAsia="zh-CN" w:bidi="ar"/>
        </w:rPr>
        <w:t>CrossRef</w:t>
      </w:r>
      <w:r>
        <w:rPr>
          <w:rFonts w:hint="default" w:ascii="Times New Roman" w:hAnsi="Times New Roman" w:cs="Times New Roman" w:eastAsiaTheme="minorEastAsia"/>
          <w:color w:val="000000"/>
          <w:sz w:val="22"/>
          <w:szCs w:val="22"/>
          <w:lang w:eastAsia="zh-CN" w:bidi="ar"/>
        </w:rPr>
        <w:t xml:space="preserve">] </w:t>
      </w:r>
    </w:p>
    <w:p w14:paraId="71D6F7F3">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[28] Lundström, M.; Barry, P.; Henry, Y.; Rosen, P.; Stenevi, U. Visual outcome of cataract surgery; study from the European Registry of Quality Outcomes for Cataract and Refractive Surgery. </w:t>
      </w:r>
      <w:r>
        <w:rPr>
          <w:rFonts w:hint="default" w:ascii="Times New Roman" w:hAnsi="Times New Roman" w:cs="Times New Roman" w:eastAsiaTheme="minorEastAsia"/>
          <w:i/>
          <w:iCs/>
          <w:color w:val="000000"/>
          <w:sz w:val="22"/>
          <w:szCs w:val="22"/>
          <w:lang w:eastAsia="zh-CN" w:bidi="ar"/>
        </w:rPr>
        <w:t xml:space="preserve">J. Cataract. Refract. Surg. </w:t>
      </w:r>
      <w:r>
        <w:rPr>
          <w:rFonts w:hint="default" w:ascii="Times New Roman" w:hAnsi="Times New Roman" w:cs="Times New Roman" w:eastAsiaTheme="minorEastAsia"/>
          <w:b/>
          <w:bCs/>
          <w:color w:val="000000"/>
          <w:sz w:val="22"/>
          <w:szCs w:val="22"/>
          <w:lang w:eastAsia="zh-CN" w:bidi="ar"/>
        </w:rPr>
        <w:t>2013</w:t>
      </w:r>
      <w:r>
        <w:rPr>
          <w:rFonts w:hint="default" w:ascii="Times New Roman" w:hAnsi="Times New Roman" w:cs="Times New Roman" w:eastAsiaTheme="minorEastAsia"/>
          <w:color w:val="000000"/>
          <w:sz w:val="22"/>
          <w:szCs w:val="22"/>
          <w:lang w:eastAsia="zh-CN" w:bidi="ar"/>
        </w:rPr>
        <w:t xml:space="preserve">, </w:t>
      </w:r>
      <w:r>
        <w:rPr>
          <w:rFonts w:hint="default" w:ascii="Times New Roman" w:hAnsi="Times New Roman" w:cs="Times New Roman" w:eastAsiaTheme="minorEastAsia"/>
          <w:i/>
          <w:iCs/>
          <w:color w:val="000000"/>
          <w:sz w:val="22"/>
          <w:szCs w:val="22"/>
          <w:lang w:eastAsia="zh-CN" w:bidi="ar"/>
        </w:rPr>
        <w:t>39</w:t>
      </w:r>
      <w:r>
        <w:rPr>
          <w:rFonts w:hint="default" w:ascii="Times New Roman" w:hAnsi="Times New Roman" w:cs="Times New Roman" w:eastAsiaTheme="minorEastAsia"/>
          <w:color w:val="000000"/>
          <w:sz w:val="22"/>
          <w:szCs w:val="22"/>
          <w:lang w:eastAsia="zh-CN" w:bidi="ar"/>
        </w:rPr>
        <w:t>, 673–679. [</w:t>
      </w:r>
      <w:r>
        <w:rPr>
          <w:rFonts w:hint="default" w:ascii="Times New Roman" w:hAnsi="Times New Roman" w:cs="Times New Roman" w:eastAsiaTheme="minorEastAsia"/>
          <w:color w:val="0875B7"/>
          <w:sz w:val="22"/>
          <w:szCs w:val="22"/>
          <w:lang w:eastAsia="zh-CN" w:bidi="ar"/>
        </w:rPr>
        <w:t>CrossRef</w:t>
      </w:r>
      <w:r>
        <w:rPr>
          <w:rFonts w:hint="default" w:ascii="Times New Roman" w:hAnsi="Times New Roman" w:cs="Times New Roman" w:eastAsiaTheme="minorEastAsia"/>
          <w:color w:val="000000"/>
          <w:sz w:val="22"/>
          <w:szCs w:val="22"/>
          <w:lang w:eastAsia="zh-CN" w:bidi="ar"/>
        </w:rPr>
        <w:t>]</w:t>
      </w:r>
    </w:p>
    <w:p w14:paraId="742F1343">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[29] Almazroa, A.; Alodhayb, S.; Raahemifar, K.; Lakshminarayanan, V. An automatic image processing system for glaucoma screening. </w:t>
      </w:r>
      <w:r>
        <w:rPr>
          <w:rFonts w:hint="default" w:ascii="Times New Roman" w:hAnsi="Times New Roman" w:cs="Times New Roman" w:eastAsiaTheme="minorEastAsia"/>
          <w:i/>
          <w:iCs/>
          <w:color w:val="000000"/>
          <w:sz w:val="22"/>
          <w:szCs w:val="22"/>
          <w:lang w:eastAsia="zh-CN" w:bidi="ar"/>
        </w:rPr>
        <w:t xml:space="preserve">Int. J. Biomed. Imaging </w:t>
      </w:r>
      <w:r>
        <w:rPr>
          <w:rFonts w:hint="default" w:ascii="Times New Roman" w:hAnsi="Times New Roman" w:cs="Times New Roman" w:eastAsiaTheme="minorEastAsia"/>
          <w:b/>
          <w:bCs/>
          <w:color w:val="000000"/>
          <w:sz w:val="22"/>
          <w:szCs w:val="22"/>
          <w:lang w:eastAsia="zh-CN" w:bidi="ar"/>
        </w:rPr>
        <w:t>2017</w:t>
      </w:r>
      <w:r>
        <w:rPr>
          <w:rFonts w:hint="default" w:ascii="Times New Roman" w:hAnsi="Times New Roman" w:cs="Times New Roman" w:eastAsiaTheme="minorEastAsia"/>
          <w:color w:val="000000"/>
          <w:sz w:val="22"/>
          <w:szCs w:val="22"/>
          <w:lang w:eastAsia="zh-CN" w:bidi="ar"/>
        </w:rPr>
        <w:t xml:space="preserve">, </w:t>
      </w:r>
      <w:r>
        <w:rPr>
          <w:rFonts w:hint="default" w:ascii="Times New Roman" w:hAnsi="Times New Roman" w:cs="Times New Roman" w:eastAsiaTheme="minorEastAsia"/>
          <w:i/>
          <w:iCs/>
          <w:color w:val="000000"/>
          <w:sz w:val="22"/>
          <w:szCs w:val="22"/>
          <w:lang w:eastAsia="zh-CN" w:bidi="ar"/>
        </w:rPr>
        <w:t>2017</w:t>
      </w:r>
      <w:r>
        <w:rPr>
          <w:rFonts w:hint="default" w:ascii="Times New Roman" w:hAnsi="Times New Roman" w:cs="Times New Roman" w:eastAsiaTheme="minorEastAsia"/>
          <w:color w:val="000000"/>
          <w:sz w:val="22"/>
          <w:szCs w:val="22"/>
          <w:lang w:eastAsia="zh-CN" w:bidi="ar"/>
        </w:rPr>
        <w:t>, 4826385. [</w:t>
      </w:r>
      <w:r>
        <w:rPr>
          <w:rFonts w:hint="default" w:ascii="Times New Roman" w:hAnsi="Times New Roman" w:cs="Times New Roman" w:eastAsiaTheme="minorEastAsia"/>
          <w:color w:val="0875B7"/>
          <w:sz w:val="22"/>
          <w:szCs w:val="22"/>
          <w:lang w:eastAsia="zh-CN" w:bidi="ar"/>
        </w:rPr>
        <w:t>CrossRef</w:t>
      </w:r>
      <w:r>
        <w:rPr>
          <w:rFonts w:hint="default" w:ascii="Times New Roman" w:hAnsi="Times New Roman" w:cs="Times New Roman" w:eastAsiaTheme="minorEastAsia"/>
          <w:color w:val="000000"/>
          <w:sz w:val="22"/>
          <w:szCs w:val="22"/>
          <w:lang w:eastAsia="zh-CN" w:bidi="ar"/>
        </w:rPr>
        <w:t xml:space="preserve">] </w:t>
      </w:r>
    </w:p>
    <w:p w14:paraId="6E16A5AF">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[30] Bragança, C.P.; Torres, J.M.; Soares, C.P.; Macedo, L.O. Detection of Glaucoma on Fundus Images Using Deep Learning on a New Image Set Obtained with a Smartphone and Handheld Ophthalmoscope. </w:t>
      </w:r>
      <w:r>
        <w:rPr>
          <w:rFonts w:hint="default" w:ascii="Times New Roman" w:hAnsi="Times New Roman" w:cs="Times New Roman" w:eastAsiaTheme="minorEastAsia"/>
          <w:i/>
          <w:iCs/>
          <w:color w:val="000000"/>
          <w:sz w:val="22"/>
          <w:szCs w:val="22"/>
          <w:lang w:eastAsia="zh-CN" w:bidi="ar"/>
        </w:rPr>
        <w:t xml:space="preserve">Healthcare </w:t>
      </w:r>
      <w:r>
        <w:rPr>
          <w:rFonts w:hint="default" w:ascii="Times New Roman" w:hAnsi="Times New Roman" w:cs="Times New Roman" w:eastAsiaTheme="minorEastAsia"/>
          <w:b/>
          <w:bCs/>
          <w:color w:val="000000"/>
          <w:sz w:val="22"/>
          <w:szCs w:val="22"/>
          <w:lang w:eastAsia="zh-CN" w:bidi="ar"/>
        </w:rPr>
        <w:t>2022</w:t>
      </w:r>
      <w:r>
        <w:rPr>
          <w:rFonts w:hint="default" w:ascii="Times New Roman" w:hAnsi="Times New Roman" w:cs="Times New Roman" w:eastAsiaTheme="minorEastAsia"/>
          <w:color w:val="000000"/>
          <w:sz w:val="22"/>
          <w:szCs w:val="22"/>
          <w:lang w:eastAsia="zh-CN" w:bidi="ar"/>
        </w:rPr>
        <w:t xml:space="preserve">, </w:t>
      </w:r>
      <w:r>
        <w:rPr>
          <w:rFonts w:hint="default" w:ascii="Times New Roman" w:hAnsi="Times New Roman" w:cs="Times New Roman" w:eastAsiaTheme="minorEastAsia"/>
          <w:i/>
          <w:iCs/>
          <w:color w:val="000000"/>
          <w:sz w:val="22"/>
          <w:szCs w:val="22"/>
          <w:lang w:eastAsia="zh-CN" w:bidi="ar"/>
        </w:rPr>
        <w:t>10</w:t>
      </w:r>
      <w:r>
        <w:rPr>
          <w:rFonts w:hint="default" w:ascii="Times New Roman" w:hAnsi="Times New Roman" w:cs="Times New Roman" w:eastAsiaTheme="minorEastAsia"/>
          <w:color w:val="000000"/>
          <w:sz w:val="22"/>
          <w:szCs w:val="22"/>
          <w:lang w:eastAsia="zh-CN" w:bidi="ar"/>
        </w:rPr>
        <w:t>, 2345. [</w:t>
      </w:r>
      <w:r>
        <w:rPr>
          <w:rFonts w:hint="default" w:ascii="Times New Roman" w:hAnsi="Times New Roman" w:cs="Times New Roman" w:eastAsiaTheme="minorEastAsia"/>
          <w:color w:val="0875B7"/>
          <w:sz w:val="22"/>
          <w:szCs w:val="22"/>
          <w:lang w:eastAsia="zh-CN" w:bidi="ar"/>
        </w:rPr>
        <w:t>CrossRef</w:t>
      </w:r>
      <w:r>
        <w:rPr>
          <w:rFonts w:hint="default" w:ascii="Times New Roman" w:hAnsi="Times New Roman" w:cs="Times New Roman" w:eastAsiaTheme="minorEastAsia"/>
          <w:color w:val="000000"/>
          <w:sz w:val="22"/>
          <w:szCs w:val="22"/>
          <w:lang w:eastAsia="zh-CN" w:bidi="ar"/>
        </w:rPr>
        <w:t xml:space="preserve">] </w:t>
      </w:r>
    </w:p>
    <w:p w14:paraId="17CD8845">
      <w:pPr>
        <w:jc w:val="both"/>
        <w:rPr>
          <w:rFonts w:hint="default" w:ascii="Times New Roman" w:hAnsi="Times New Roman" w:cs="Times New Roman" w:eastAsiaTheme="minorEastAsia"/>
          <w:sz w:val="22"/>
          <w:szCs w:val="22"/>
        </w:rPr>
      </w:pPr>
      <w:r>
        <w:rPr>
          <w:rFonts w:hint="default" w:ascii="Times New Roman" w:hAnsi="Times New Roman" w:cs="Times New Roman" w:eastAsiaTheme="minorEastAsia"/>
          <w:color w:val="000000"/>
          <w:sz w:val="22"/>
          <w:szCs w:val="22"/>
          <w:lang w:eastAsia="zh-CN" w:bidi="ar"/>
        </w:rPr>
        <w:t xml:space="preserve">[31] Baxter, S.L.; Marks, C.; Kuo, T.T.; Ohno-Machado, L.; Weinreb, R.N. Machine Learning-Based Predictive Modeling of Surgical Intervention in Glaucoma Using Systemic Data From Electronic Health Records. </w:t>
      </w:r>
      <w:r>
        <w:rPr>
          <w:rFonts w:hint="default" w:ascii="Times New Roman" w:hAnsi="Times New Roman" w:cs="Times New Roman" w:eastAsiaTheme="minorEastAsia"/>
          <w:i/>
          <w:iCs/>
          <w:color w:val="000000"/>
          <w:sz w:val="22"/>
          <w:szCs w:val="22"/>
          <w:lang w:eastAsia="zh-CN" w:bidi="ar"/>
        </w:rPr>
        <w:t xml:space="preserve">Am. J. Ophthalmol. </w:t>
      </w:r>
      <w:r>
        <w:rPr>
          <w:rFonts w:hint="default" w:ascii="Times New Roman" w:hAnsi="Times New Roman" w:cs="Times New Roman" w:eastAsiaTheme="minorEastAsia"/>
          <w:b/>
          <w:bCs/>
          <w:color w:val="000000"/>
          <w:sz w:val="22"/>
          <w:szCs w:val="22"/>
          <w:lang w:eastAsia="zh-CN" w:bidi="ar"/>
        </w:rPr>
        <w:t>2019</w:t>
      </w:r>
      <w:r>
        <w:rPr>
          <w:rFonts w:hint="default" w:ascii="Times New Roman" w:hAnsi="Times New Roman" w:cs="Times New Roman" w:eastAsiaTheme="minorEastAsia"/>
          <w:color w:val="000000"/>
          <w:sz w:val="22"/>
          <w:szCs w:val="22"/>
          <w:lang w:eastAsia="zh-CN" w:bidi="ar"/>
        </w:rPr>
        <w:t xml:space="preserve">, </w:t>
      </w:r>
      <w:r>
        <w:rPr>
          <w:rFonts w:hint="default" w:ascii="Times New Roman" w:hAnsi="Times New Roman" w:cs="Times New Roman" w:eastAsiaTheme="minorEastAsia"/>
          <w:i/>
          <w:iCs/>
          <w:color w:val="000000"/>
          <w:sz w:val="22"/>
          <w:szCs w:val="22"/>
          <w:lang w:eastAsia="zh-CN" w:bidi="ar"/>
        </w:rPr>
        <w:t>208</w:t>
      </w:r>
      <w:r>
        <w:rPr>
          <w:rFonts w:hint="default" w:ascii="Times New Roman" w:hAnsi="Times New Roman" w:cs="Times New Roman" w:eastAsiaTheme="minorEastAsia"/>
          <w:color w:val="000000"/>
          <w:sz w:val="22"/>
          <w:szCs w:val="22"/>
          <w:lang w:eastAsia="zh-CN" w:bidi="ar"/>
        </w:rPr>
        <w:t>, 30–40. [</w:t>
      </w:r>
      <w:r>
        <w:rPr>
          <w:rFonts w:hint="default" w:ascii="Times New Roman" w:hAnsi="Times New Roman" w:cs="Times New Roman" w:eastAsiaTheme="minorEastAsia"/>
          <w:color w:val="0875B7"/>
          <w:sz w:val="22"/>
          <w:szCs w:val="22"/>
          <w:lang w:eastAsia="zh-CN" w:bidi="ar"/>
        </w:rPr>
        <w:t>CrossRef</w:t>
      </w:r>
      <w:r>
        <w:rPr>
          <w:rFonts w:hint="default" w:ascii="Times New Roman" w:hAnsi="Times New Roman" w:cs="Times New Roman" w:eastAsiaTheme="minorEastAsia"/>
          <w:color w:val="000000"/>
          <w:sz w:val="22"/>
          <w:szCs w:val="22"/>
          <w:lang w:eastAsia="zh-CN" w:bidi="ar"/>
        </w:rPr>
        <w:t xml:space="preserve">] </w:t>
      </w:r>
    </w:p>
    <w:p w14:paraId="3E059554">
      <w:pPr>
        <w:jc w:val="both"/>
        <w:rPr>
          <w:b/>
          <w:bCs/>
          <w:sz w:val="28"/>
          <w:szCs w:val="28"/>
        </w:rPr>
        <w:sectPr>
          <w:type w:val="continuous"/>
          <w:pgSz w:w="12240" w:h="15840"/>
          <w:pgMar w:top="1440" w:right="1440" w:bottom="1440" w:left="1440" w:header="720" w:footer="720" w:gutter="0"/>
          <w:cols w:equalWidth="0" w:num="2">
            <w:col w:w="4467" w:space="425"/>
            <w:col w:w="4467"/>
          </w:cols>
          <w:docGrid w:linePitch="360" w:charSpace="0"/>
        </w:sectPr>
      </w:pPr>
      <w:r>
        <w:rPr>
          <w:rFonts w:hint="default" w:ascii="Times New Roman" w:hAnsi="Times New Roman" w:cs="Times New Roman" w:eastAsiaTheme="minorEastAsia"/>
          <w:color w:val="000000"/>
          <w:sz w:val="22"/>
          <w:szCs w:val="22"/>
          <w:lang w:eastAsia="zh-CN" w:bidi="ar"/>
        </w:rPr>
        <w:t>[</w:t>
      </w:r>
      <w:r>
        <w:rPr>
          <w:rFonts w:hint="default" w:ascii="Times New Roman" w:hAnsi="Times New Roman" w:cs="Times New Roman" w:eastAsiaTheme="minorEastAsia"/>
          <w:color w:val="0875B7"/>
          <w:sz w:val="22"/>
          <w:szCs w:val="22"/>
          <w:lang w:eastAsia="zh-CN" w:bidi="ar"/>
        </w:rPr>
        <w:t>PubMed</w:t>
      </w:r>
    </w:p>
    <w:p w14:paraId="7770C25C">
      <w:pPr>
        <w:rPr>
          <w:b/>
          <w:bCs/>
          <w:sz w:val="28"/>
          <w:szCs w:val="28"/>
        </w:rPr>
      </w:pPr>
    </w:p>
    <w:sectPr>
      <w:type w:val="continuous"/>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3F2833"/>
    <w:multiLevelType w:val="singleLevel"/>
    <w:tmpl w:val="203F283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2F24"/>
    <w:rsid w:val="003E6C22"/>
    <w:rsid w:val="00483C18"/>
    <w:rsid w:val="00551830"/>
    <w:rsid w:val="005C2F24"/>
    <w:rsid w:val="00713F7D"/>
    <w:rsid w:val="00740824"/>
    <w:rsid w:val="007601BF"/>
    <w:rsid w:val="009B023E"/>
    <w:rsid w:val="00B12B56"/>
    <w:rsid w:val="00C976B7"/>
    <w:rsid w:val="00E838A4"/>
    <w:rsid w:val="02EB0753"/>
    <w:rsid w:val="12782234"/>
    <w:rsid w:val="155F2E88"/>
    <w:rsid w:val="15C33C78"/>
    <w:rsid w:val="2FEA2B66"/>
    <w:rsid w:val="3A284930"/>
    <w:rsid w:val="492A2813"/>
    <w:rsid w:val="4BF57366"/>
    <w:rsid w:val="67773A87"/>
    <w:rsid w:val="6FFE71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next w:val="1"/>
    <w:semiHidden/>
    <w:unhideWhenUsed/>
    <w:qFormat/>
    <w:uiPriority w:val="9"/>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semiHidden/>
    <w:unhideWhenUsed/>
    <w:uiPriority w:val="99"/>
    <w:pPr>
      <w:tabs>
        <w:tab w:val="center" w:pos="4153"/>
        <w:tab w:val="right" w:pos="8306"/>
      </w:tabs>
      <w:snapToGrid w:val="0"/>
      <w:jc w:val="left"/>
    </w:pPr>
    <w:rPr>
      <w:sz w:val="18"/>
      <w:szCs w:val="18"/>
    </w:rPr>
  </w:style>
  <w:style w:type="paragraph" w:styleId="6">
    <w:name w:val="header"/>
    <w:basedOn w:val="1"/>
    <w:semiHidden/>
    <w:unhideWhenUsed/>
    <w:uiPriority w:val="99"/>
    <w:pPr>
      <w:tabs>
        <w:tab w:val="center" w:pos="4153"/>
        <w:tab w:val="right" w:pos="8306"/>
      </w:tabs>
      <w:snapToGrid w:val="0"/>
    </w:pPr>
    <w:rPr>
      <w:sz w:val="18"/>
      <w:szCs w:val="18"/>
    </w:rPr>
  </w:style>
  <w:style w:type="paragraph" w:styleId="7">
    <w:name w:val="HTML Preformatted"/>
    <w:basedOn w:val="1"/>
    <w:link w:val="11"/>
    <w:unhideWhenUsed/>
    <w:qFormat/>
    <w:uiPriority w:val="99"/>
    <w:pPr>
      <w:spacing w:after="0" w:line="240" w:lineRule="auto"/>
    </w:pPr>
    <w:rPr>
      <w:rFonts w:ascii="Consolas" w:hAnsi="Consolas"/>
      <w:sz w:val="20"/>
      <w:szCs w:val="20"/>
    </w:rPr>
  </w:style>
  <w:style w:type="paragraph" w:styleId="8">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3"/>
    <w:qFormat/>
    <w:uiPriority w:val="22"/>
    <w:rPr>
      <w:b/>
      <w:bCs/>
    </w:rPr>
  </w:style>
  <w:style w:type="table" w:styleId="10">
    <w:name w:val="Table Grid"/>
    <w:basedOn w:val="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HTML Preformatted Char"/>
    <w:basedOn w:val="3"/>
    <w:link w:val="7"/>
    <w:qFormat/>
    <w:uiPriority w:val="99"/>
    <w:rPr>
      <w:rFonts w:ascii="Consolas" w:hAnsi="Consolas" w:eastAsiaTheme="minorHAnsi" w:cstheme="minorBidi"/>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2259</Words>
  <Characters>13220</Characters>
  <Lines>269</Lines>
  <Paragraphs>136</Paragraphs>
  <TotalTime>8</TotalTime>
  <ScaleCrop>false</ScaleCrop>
  <LinksUpToDate>false</LinksUpToDate>
  <CharactersWithSpaces>15343</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Sadia Afrin; MohosiulHaque Alvi</dc:creator>
  <cp:lastModifiedBy>sadia</cp:lastModifiedBy>
  <cp:revision>4</cp:revision>
  <dcterms:created xsi:type="dcterms:W3CDTF">2025-07-23T14:05:00Z</dcterms:created>
  <dcterms:modified xsi:type="dcterms:W3CDTF">2025-08-18T17:53:17Z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677bc2c7-60f9-4174-b4d2-57c95af27a2e</vt:lpwstr>
  </property>
  <property fmtid="{D5CDD505-2E9C-101B-9397-08002B2CF9AE}" pid="3" name="KSOProductBuildVer">
    <vt:lpwstr>1033-12.2.0.22222</vt:lpwstr>
  </property>
  <property fmtid="{D5CDD505-2E9C-101B-9397-08002B2CF9AE}" pid="4" name="ICV">
    <vt:lpwstr>EC4EE9BF349E4C30A779B3D74C3C4C39_13</vt:lpwstr>
  </property>
</Properties>
</file>