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40" w:before="200"/>
        <w:jc w:val="center"/>
      </w:pPr>
      <w:r>
        <w:rPr>
          <w:rFonts w:ascii="Arial" w:cs="Arial" w:eastAsia="Arial" w:hAnsi="Arial"/>
          <w:b/>
          <w:bCs/>
          <w:color w:val="7C3AED"/>
          <w:sz w:val="56"/>
          <w:szCs w:val="56"/>
        </w:rPr>
        <w:t xml:space="preserve">TULUÁ LABS SUMMIT 2026</w:t>
      </w:r>
    </w:p>
    <w:p>
      <w:pPr>
        <w:spacing w:after="80" w:before="0"/>
        <w:jc w:val="center"/>
      </w:pPr>
      <w:r>
        <w:rPr>
          <w:rFonts w:ascii="Arial" w:cs="Arial" w:eastAsia="Arial" w:hAnsi="Arial"/>
          <w:color w:val="6B7280"/>
          <w:sz w:val="30"/>
          <w:szCs w:val="30"/>
        </w:rPr>
        <w:t xml:space="preserve">Documento Oficial de Acompañamiento</w:t>
      </w:r>
    </w:p>
    <w:p>
      <w:pPr>
        <w:pBdr>
          <w:bottom w:val="single" w:color="7C3AED" w:sz="8" w:space="6"/>
        </w:pBdr>
        <w:spacing w:after="200" w:before="0"/>
        <w:jc w:val="center"/>
      </w:pPr>
      <w:r>
        <w:rPr>
          <w:rFonts w:ascii="Arial" w:cs="Arial" w:eastAsia="Arial" w:hAnsi="Arial"/>
          <w:i/>
          <w:iCs/>
          <w:color w:val="374151"/>
          <w:sz w:val="22"/>
          <w:szCs w:val="22"/>
        </w:rPr>
        <w:t xml:space="preserve">Desarrollo del Sitio Web Oficial · labssummit.com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3EEFF" w:val="clear"/>
            <w:tcMar>
              <w:top w:type="dxa" w:w="100"/>
              <w:left w:type="dxa" w:w="150"/>
              <w:bottom w:type="dxa" w:w="100"/>
              <w:right w:type="dxa" w:w="150"/>
            </w:tcMar>
            <w:vAlign w:val="center"/>
          </w:tcPr>
          <w:p>
            <w:pPr>
              <w:jc w:val="center"/>
            </w:pPr>
            <w:r>
              <w:rPr>
                <w:rFonts w:ascii="Arial" w:cs="Arial" w:eastAsia="Arial" w:hAnsi="Arial"/>
                <w:b/>
                <w:bCs/>
                <w:color w:val="7C3AED"/>
                <w:sz w:val="20"/>
                <w:szCs w:val="20"/>
              </w:rPr>
              <w:t xml:space="preserve">📅  11 – 13 Sep 2026</w:t>
            </w:r>
          </w:p>
        </w:tc>
        <w:tc>
          <w:tcPr>
            <w:tcW w:type="dxa" w:w="3120"/>
            <w:tcBorders>
              <w:top w:val="single" w:color="E5E7EB" w:sz="1"/>
              <w:left w:val="single" w:color="E5E7EB" w:sz="1"/>
              <w:bottom w:val="single" w:color="E5E7EB" w:sz="1"/>
              <w:right w:val="single" w:color="E5E7EB" w:sz="1"/>
            </w:tcBorders>
            <w:shd w:fill="F9FAFB" w:val="clear"/>
            <w:tcMar>
              <w:top w:type="dxa" w:w="100"/>
              <w:left w:type="dxa" w:w="150"/>
              <w:bottom w:type="dxa" w:w="100"/>
              <w:right w:type="dxa" w:w="150"/>
            </w:tcMar>
            <w:vAlign w:val="center"/>
          </w:tcPr>
          <w:p>
            <w:pPr>
              <w:jc w:val="center"/>
            </w:pPr>
            <w:r>
              <w:rPr>
                <w:rFonts w:ascii="Arial" w:cs="Arial" w:eastAsia="Arial" w:hAnsi="Arial"/>
                <w:b w:val="false"/>
                <w:bCs w:val="false"/>
                <w:color w:val="111827"/>
                <w:sz w:val="20"/>
                <w:szCs w:val="20"/>
              </w:rPr>
              <w:t xml:space="preserve">📍  Coliseo de Ferias, Tuluá</w:t>
            </w:r>
          </w:p>
        </w:tc>
        <w:tc>
          <w:tcPr>
            <w:tcW w:type="dxa" w:w="3120"/>
            <w:tcBorders>
              <w:top w:val="single" w:color="E5E7EB" w:sz="1"/>
              <w:left w:val="single" w:color="E5E7EB" w:sz="1"/>
              <w:bottom w:val="single" w:color="E5E7EB" w:sz="1"/>
              <w:right w:val="single" w:color="E5E7EB" w:sz="1"/>
            </w:tcBorders>
            <w:shd w:fill="F3EEFF" w:val="clear"/>
            <w:tcMar>
              <w:top w:type="dxa" w:w="100"/>
              <w:left w:type="dxa" w:w="150"/>
              <w:bottom w:type="dxa" w:w="100"/>
              <w:right w:type="dxa" w:w="150"/>
            </w:tcMar>
            <w:vAlign w:val="center"/>
          </w:tcPr>
          <w:p>
            <w:pPr>
              <w:jc w:val="center"/>
            </w:pPr>
            <w:r>
              <w:rPr>
                <w:rFonts w:ascii="Arial" w:cs="Arial" w:eastAsia="Arial" w:hAnsi="Arial"/>
                <w:b/>
                <w:bCs/>
                <w:color w:val="7C3AED"/>
                <w:sz w:val="20"/>
                <w:szCs w:val="20"/>
              </w:rPr>
              <w:t xml:space="preserve">🌐  labssummit.com</w:t>
            </w:r>
          </w:p>
        </w:tc>
      </w:tr>
    </w:tbl>
    <w:p>
      <w:pPr>
        <w:spacing w:after="80" w:before="0"/>
      </w:pPr>
      <w:r>
        <w:t xml:space="preserve"/>
      </w:r>
    </w:p>
    <w:p>
      <w:pPr>
        <w:spacing w:after="80" w:before="0"/>
      </w:pPr>
      <w:r>
        <w:t xml:space="preserve"/>
      </w:r>
    </w:p>
    <w:p>
      <w:r>
        <w:br w:type="page"/>
      </w:r>
    </w:p>
    <w:p>
      <w:pPr>
        <w:pBdr>
          <w:bottom w:val="single" w:color="7C3AED" w:sz="8" w:space="4"/>
        </w:pBdr>
        <w:spacing w:after="160" w:before="360"/>
      </w:pPr>
      <w:r>
        <w:rPr>
          <w:rFonts w:ascii="Arial" w:cs="Arial" w:eastAsia="Arial" w:hAnsi="Arial"/>
          <w:b/>
          <w:bCs/>
          <w:color w:val="7C3AED"/>
          <w:sz w:val="36"/>
          <w:szCs w:val="36"/>
        </w:rPr>
        <w:t xml:space="preserve">1. Resumen Ejecutivo del Proyecto</w:t>
      </w:r>
    </w:p>
    <w:p>
      <w:pPr>
        <w:spacing w:after="80" w:before="60"/>
        <w:jc w:val="left"/>
      </w:pPr>
      <w:r>
        <w:rPr>
          <w:rFonts w:ascii="Arial" w:cs="Arial" w:eastAsia="Arial" w:hAnsi="Arial"/>
          <w:b w:val="false"/>
          <w:bCs w:val="false"/>
          <w:i w:val="false"/>
          <w:iCs w:val="false"/>
          <w:color w:val="374151"/>
          <w:sz w:val="21"/>
          <w:szCs w:val="21"/>
        </w:rPr>
        <w:t xml:space="preserve">El presente documento recoge de forma completa el acompañamiento prestado al evento Tuluá Labs Summit 2026, incluyendo todas las actividades ejecutadas en el sitio web oficial, el estado actual de cada entregable, los compromisos de continuidad acordados y el historial de pagos del proyecto.</w:t>
      </w:r>
    </w:p>
    <w:p>
      <w:pPr>
        <w:spacing w:after="80" w:before="60"/>
        <w:jc w:val="left"/>
      </w:pPr>
      <w:r>
        <w:rPr>
          <w:rFonts w:ascii="Arial" w:cs="Arial" w:eastAsia="Arial" w:hAnsi="Arial"/>
          <w:b w:val="false"/>
          <w:bCs w:val="false"/>
          <w:i w:val="false"/>
          <w:iCs w:val="false"/>
          <w:color w:val="374151"/>
          <w:sz w:val="21"/>
          <w:szCs w:val="21"/>
        </w:rPr>
        <w:t xml:space="preserve">El sitio web labssummit.com fue desarrollado como una aplicación web estática (HTML + CSS + JavaScript) desplegada en GitHub Pages bajo el repositorio SoulNome/labs-summit-2026, con más de 40 commits a lo largo del proceso. Al día de hoy, la totalidad de los entregables técnicos del sitio web están completos y en funcionamiento en producción.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120"/>
              <w:left w:type="dxa" w:w="200"/>
              <w:bottom w:type="dxa" w:w="120"/>
              <w:right w:type="dxa" w:w="200"/>
            </w:tcMar>
          </w:tcPr>
          <w:p>
            <w:pPr>
              <w:jc w:val="left"/>
            </w:pPr>
            <w:r>
              <w:rPr>
                <w:rFonts w:ascii="Arial" w:cs="Arial" w:eastAsia="Arial" w:hAnsi="Arial"/>
                <w:b w:val="false"/>
                <w:bCs w:val="false"/>
                <w:color w:val="16A34A"/>
                <w:sz w:val="21"/>
                <w:szCs w:val="21"/>
              </w:rPr>
              <w:t xml:space="preserve">✅  TODOS los entregables del sitio web fueron completados y desplegados exitosamente en producción. El único ítem pendiente de acompañamiento es la integración con la tiquetera, que corresponde a un proyecto externo independiente al desarrollo web.</w:t>
            </w:r>
          </w:p>
        </w:tc>
      </w:tr>
    </w:tbl>
    <w:p>
      <w:pPr>
        <w:spacing w:after="80" w:before="0"/>
      </w:pPr>
      <w:r>
        <w:t xml:space="preserve"/>
      </w:r>
    </w:p>
    <w:p>
      <w:r>
        <w:br w:type="page"/>
      </w:r>
    </w:p>
    <w:p>
      <w:pPr>
        <w:pBdr>
          <w:bottom w:val="single" w:color="7C3AED" w:sz="8" w:space="4"/>
        </w:pBdr>
        <w:spacing w:after="160" w:before="360"/>
      </w:pPr>
      <w:r>
        <w:rPr>
          <w:rFonts w:ascii="Arial" w:cs="Arial" w:eastAsia="Arial" w:hAnsi="Arial"/>
          <w:b/>
          <w:bCs/>
          <w:color w:val="7C3AED"/>
          <w:sz w:val="36"/>
          <w:szCs w:val="36"/>
        </w:rPr>
        <w:t xml:space="preserve">2. Actividades Realizadas — Detalle Completo</w:t>
      </w:r>
    </w:p>
    <w:p>
      <w:pPr>
        <w:spacing w:after="120" w:before="260"/>
      </w:pPr>
      <w:r>
        <w:rPr>
          <w:rFonts w:ascii="Arial" w:cs="Arial" w:eastAsia="Arial" w:hAnsi="Arial"/>
          <w:b/>
          <w:bCs/>
          <w:color w:val="374151"/>
          <w:sz w:val="26"/>
          <w:szCs w:val="26"/>
        </w:rPr>
        <w:t xml:space="preserve">2.1 Estructura General del Sitio Web</w:t>
      </w:r>
    </w:p>
    <w:p>
      <w:pPr>
        <w:pStyle w:val="ListParagraph"/>
        <w:numPr>
          <w:ilvl w:val="0"/>
          <w:numId w:val="2"/>
        </w:numPr>
        <w:spacing w:after="40" w:before="40"/>
      </w:pPr>
      <w:r>
        <w:rPr>
          <w:rFonts w:ascii="Arial" w:cs="Arial" w:eastAsia="Arial" w:hAnsi="Arial"/>
          <w:color w:val="374151"/>
          <w:sz w:val="21"/>
          <w:szCs w:val="21"/>
        </w:rPr>
        <w:t xml:space="preserve">Diseño y desarrollo completo de la landing page oficial labssummit.com</w:t>
      </w:r>
    </w:p>
    <w:p>
      <w:pPr>
        <w:pStyle w:val="ListParagraph"/>
        <w:numPr>
          <w:ilvl w:val="0"/>
          <w:numId w:val="2"/>
        </w:numPr>
        <w:spacing w:after="40" w:before="40"/>
      </w:pPr>
      <w:r>
        <w:rPr>
          <w:rFonts w:ascii="Arial" w:cs="Arial" w:eastAsia="Arial" w:hAnsi="Arial"/>
          <w:color w:val="374151"/>
          <w:sz w:val="21"/>
          <w:szCs w:val="21"/>
        </w:rPr>
        <w:t xml:space="preserve">Paleta visual: fondo oscuro (#0D0118), morado (#A855F7), tipografía Inter/Space Grotesk</w:t>
      </w:r>
    </w:p>
    <w:p>
      <w:pPr>
        <w:pStyle w:val="ListParagraph"/>
        <w:numPr>
          <w:ilvl w:val="0"/>
          <w:numId w:val="2"/>
        </w:numPr>
        <w:spacing w:after="40" w:before="40"/>
      </w:pPr>
      <w:r>
        <w:rPr>
          <w:rFonts w:ascii="Arial" w:cs="Arial" w:eastAsia="Arial" w:hAnsi="Arial"/>
          <w:color w:val="374151"/>
          <w:sz w:val="21"/>
          <w:szCs w:val="21"/>
        </w:rPr>
        <w:t xml:space="preserve">Navegación fija con secciones: Días, Tickets, Speakers, FAQ</w:t>
      </w:r>
    </w:p>
    <w:p>
      <w:pPr>
        <w:pStyle w:val="ListParagraph"/>
        <w:numPr>
          <w:ilvl w:val="0"/>
          <w:numId w:val="2"/>
        </w:numPr>
        <w:spacing w:after="40" w:before="40"/>
      </w:pPr>
      <w:r>
        <w:rPr>
          <w:rFonts w:ascii="Arial" w:cs="Arial" w:eastAsia="Arial" w:hAnsi="Arial"/>
          <w:color w:val="374151"/>
          <w:sz w:val="21"/>
          <w:szCs w:val="21"/>
        </w:rPr>
        <w:t xml:space="preserve">Contador regresivo en tiempo real (días, horas, minutos, segundos) hacia el 11 Sep 2026</w:t>
      </w:r>
    </w:p>
    <w:p>
      <w:pPr>
        <w:pStyle w:val="ListParagraph"/>
        <w:numPr>
          <w:ilvl w:val="0"/>
          <w:numId w:val="2"/>
        </w:numPr>
        <w:spacing w:after="40" w:before="40"/>
      </w:pPr>
      <w:r>
        <w:rPr>
          <w:rFonts w:ascii="Arial" w:cs="Arial" w:eastAsia="Arial" w:hAnsi="Arial"/>
          <w:color w:val="374151"/>
          <w:sz w:val="21"/>
          <w:szCs w:val="21"/>
        </w:rPr>
        <w:t xml:space="preserve">Hero section con slides animados y llamado a la acción</w:t>
      </w:r>
    </w:p>
    <w:p>
      <w:pPr>
        <w:pStyle w:val="ListParagraph"/>
        <w:numPr>
          <w:ilvl w:val="0"/>
          <w:numId w:val="2"/>
        </w:numPr>
        <w:spacing w:after="40" w:before="40"/>
      </w:pPr>
      <w:r>
        <w:rPr>
          <w:rFonts w:ascii="Arial" w:cs="Arial" w:eastAsia="Arial" w:hAnsi="Arial"/>
          <w:color w:val="374151"/>
          <w:sz w:val="21"/>
          <w:szCs w:val="21"/>
        </w:rPr>
        <w:t xml:space="preserve">Sección de estadísticas del evento (500+ líderes, 15+ speakers, 3 días)</w:t>
      </w:r>
    </w:p>
    <w:p>
      <w:pPr>
        <w:pStyle w:val="ListParagraph"/>
        <w:numPr>
          <w:ilvl w:val="0"/>
          <w:numId w:val="2"/>
        </w:numPr>
        <w:spacing w:after="40" w:before="40"/>
      </w:pPr>
      <w:r>
        <w:rPr>
          <w:rFonts w:ascii="Arial" w:cs="Arial" w:eastAsia="Arial" w:hAnsi="Arial"/>
          <w:color w:val="374151"/>
          <w:sz w:val="21"/>
          <w:szCs w:val="21"/>
        </w:rPr>
        <w:t xml:space="preserve">Footer completo con enlaces legales y redes sociales</w:t>
      </w:r>
    </w:p>
    <w:p>
      <w:pPr>
        <w:pStyle w:val="ListParagraph"/>
        <w:numPr>
          <w:ilvl w:val="0"/>
          <w:numId w:val="2"/>
        </w:numPr>
        <w:spacing w:after="40" w:before="40"/>
      </w:pPr>
      <w:r>
        <w:rPr>
          <w:rFonts w:ascii="Arial" w:cs="Arial" w:eastAsia="Arial" w:hAnsi="Arial"/>
          <w:color w:val="374151"/>
          <w:sz w:val="21"/>
          <w:szCs w:val="21"/>
        </w:rPr>
        <w:t xml:space="preserve">Player de audio ambiental integrado en el header (toggle on/off)</w:t>
      </w:r>
    </w:p>
    <w:p>
      <w:pPr>
        <w:spacing w:after="80" w:before="0"/>
      </w:pPr>
      <w:r>
        <w:t xml:space="preserve"/>
      </w:r>
    </w:p>
    <w:p>
      <w:pPr>
        <w:spacing w:after="120" w:before="260"/>
      </w:pPr>
      <w:r>
        <w:rPr>
          <w:rFonts w:ascii="Arial" w:cs="Arial" w:eastAsia="Arial" w:hAnsi="Arial"/>
          <w:b/>
          <w:bCs/>
          <w:color w:val="374151"/>
          <w:sz w:val="26"/>
          <w:szCs w:val="26"/>
        </w:rPr>
        <w:t xml:space="preserve">2.2 Sección de Speakers</w:t>
      </w:r>
    </w:p>
    <w:p>
      <w:pPr>
        <w:pStyle w:val="ListParagraph"/>
        <w:numPr>
          <w:ilvl w:val="0"/>
          <w:numId w:val="2"/>
        </w:numPr>
        <w:spacing w:after="40" w:before="40"/>
      </w:pPr>
      <w:r>
        <w:rPr>
          <w:rFonts w:ascii="Arial" w:cs="Arial" w:eastAsia="Arial" w:hAnsi="Arial"/>
          <w:color w:val="374151"/>
          <w:sz w:val="21"/>
          <w:szCs w:val="21"/>
        </w:rPr>
        <w:t xml:space="preserve">Implementación de 11+ speaker cards con diseño flip interactivo (front/back)</w:t>
      </w:r>
    </w:p>
    <w:p>
      <w:pPr>
        <w:pStyle w:val="ListParagraph"/>
        <w:numPr>
          <w:ilvl w:val="0"/>
          <w:numId w:val="2"/>
        </w:numPr>
        <w:spacing w:after="40" w:before="40"/>
      </w:pPr>
      <w:r>
        <w:rPr>
          <w:rFonts w:ascii="Arial" w:cs="Arial" w:eastAsia="Arial" w:hAnsi="Arial"/>
          <w:color w:val="374151"/>
          <w:sz w:val="21"/>
          <w:szCs w:val="21"/>
        </w:rPr>
        <w:t xml:space="preserve">Frente de la card: foto de fondo, categoría, nombre y especialidad</w:t>
      </w:r>
    </w:p>
    <w:p>
      <w:pPr>
        <w:pStyle w:val="ListParagraph"/>
        <w:numPr>
          <w:ilvl w:val="0"/>
          <w:numId w:val="2"/>
        </w:numPr>
        <w:spacing w:after="40" w:before="40"/>
      </w:pPr>
      <w:r>
        <w:rPr>
          <w:rFonts w:ascii="Arial" w:cs="Arial" w:eastAsia="Arial" w:hAnsi="Arial"/>
          <w:color w:val="374151"/>
          <w:sz w:val="21"/>
          <w:szCs w:val="21"/>
        </w:rPr>
        <w:t xml:space="preserve">Reverso de la card: biografía completa y temas de expertise</w:t>
      </w:r>
    </w:p>
    <w:p>
      <w:pPr>
        <w:pStyle w:val="ListParagraph"/>
        <w:numPr>
          <w:ilvl w:val="0"/>
          <w:numId w:val="2"/>
        </w:numPr>
        <w:spacing w:after="40" w:before="40"/>
      </w:pPr>
      <w:r>
        <w:rPr>
          <w:rFonts w:ascii="Arial" w:cs="Arial" w:eastAsia="Arial" w:hAnsi="Arial"/>
          <w:color w:val="374151"/>
          <w:sz w:val="21"/>
          <w:szCs w:val="21"/>
        </w:rPr>
        <w:t xml:space="preserve">Técnica de animación flip con perspective + opacity (compatible con iOS Safari)</w:t>
      </w:r>
    </w:p>
    <w:p>
      <w:pPr>
        <w:pStyle w:val="ListParagraph"/>
        <w:numPr>
          <w:ilvl w:val="0"/>
          <w:numId w:val="2"/>
        </w:numPr>
        <w:spacing w:after="40" w:before="40"/>
      </w:pPr>
      <w:r>
        <w:rPr>
          <w:rFonts w:ascii="Arial" w:cs="Arial" w:eastAsia="Arial" w:hAnsi="Arial"/>
          <w:color w:val="374151"/>
          <w:sz w:val="21"/>
          <w:szCs w:val="21"/>
        </w:rPr>
        <w:t xml:space="preserve">Dos carruseles de scroll infinito independientes y sin errores en iOS/Android</w:t>
      </w:r>
    </w:p>
    <w:p>
      <w:pPr>
        <w:pStyle w:val="ListParagraph"/>
        <w:numPr>
          <w:ilvl w:val="0"/>
          <w:numId w:val="2"/>
        </w:numPr>
        <w:spacing w:after="40" w:before="40"/>
      </w:pPr>
      <w:r>
        <w:rPr>
          <w:rFonts w:ascii="Arial" w:cs="Arial" w:eastAsia="Arial" w:hAnsi="Arial"/>
          <w:color w:val="374151"/>
          <w:sz w:val="21"/>
          <w:szCs w:val="21"/>
        </w:rPr>
        <w:t xml:space="preserve">Mystery cards para speakers por revelar (con efecto visual de candado)</w:t>
      </w:r>
    </w:p>
    <w:p>
      <w:pPr>
        <w:pStyle w:val="ListParagraph"/>
        <w:numPr>
          <w:ilvl w:val="0"/>
          <w:numId w:val="2"/>
        </w:numPr>
        <w:spacing w:after="40" w:before="40"/>
      </w:pPr>
      <w:r>
        <w:rPr>
          <w:rFonts w:ascii="Arial" w:cs="Arial" w:eastAsia="Arial" w:hAnsi="Arial"/>
          <w:color w:val="374151"/>
          <w:sz w:val="21"/>
          <w:szCs w:val="21"/>
        </w:rPr>
        <w:t xml:space="preserve">Speakers implementados:</w:t>
      </w:r>
    </w:p>
    <w:p>
      <w:pPr>
        <w:pStyle w:val="ListParagraph"/>
        <w:numPr>
          <w:ilvl w:val="1"/>
          <w:numId w:val="2"/>
        </w:numPr>
        <w:spacing w:after="40" w:before="40"/>
      </w:pPr>
      <w:r>
        <w:rPr>
          <w:rFonts w:ascii="Arial" w:cs="Arial" w:eastAsia="Arial" w:hAnsi="Arial"/>
          <w:color w:val="374151"/>
          <w:sz w:val="21"/>
          <w:szCs w:val="21"/>
        </w:rPr>
        <w:t xml:space="preserve">Juan David Carmona – eCommerce</w:t>
      </w:r>
    </w:p>
    <w:p>
      <w:pPr>
        <w:pStyle w:val="ListParagraph"/>
        <w:numPr>
          <w:ilvl w:val="1"/>
          <w:numId w:val="2"/>
        </w:numPr>
        <w:spacing w:after="40" w:before="40"/>
      </w:pPr>
      <w:r>
        <w:rPr>
          <w:rFonts w:ascii="Arial" w:cs="Arial" w:eastAsia="Arial" w:hAnsi="Arial"/>
          <w:color w:val="374151"/>
          <w:sz w:val="21"/>
          <w:szCs w:val="21"/>
        </w:rPr>
        <w:t xml:space="preserve">Sara Montoya – Marketing Digital</w:t>
      </w:r>
    </w:p>
    <w:p>
      <w:pPr>
        <w:pStyle w:val="ListParagraph"/>
        <w:numPr>
          <w:ilvl w:val="1"/>
          <w:numId w:val="2"/>
        </w:numPr>
        <w:spacing w:after="40" w:before="40"/>
      </w:pPr>
      <w:r>
        <w:rPr>
          <w:rFonts w:ascii="Arial" w:cs="Arial" w:eastAsia="Arial" w:hAnsi="Arial"/>
          <w:color w:val="374151"/>
          <w:sz w:val="21"/>
          <w:szCs w:val="21"/>
        </w:rPr>
        <w:t xml:space="preserve">Jose Aguirre – Tech &amp; Startups</w:t>
      </w:r>
    </w:p>
    <w:p>
      <w:pPr>
        <w:pStyle w:val="ListParagraph"/>
        <w:numPr>
          <w:ilvl w:val="1"/>
          <w:numId w:val="2"/>
        </w:numPr>
        <w:spacing w:after="40" w:before="40"/>
      </w:pPr>
      <w:r>
        <w:rPr>
          <w:rFonts w:ascii="Arial" w:cs="Arial" w:eastAsia="Arial" w:hAnsi="Arial"/>
          <w:color w:val="374151"/>
          <w:sz w:val="21"/>
          <w:szCs w:val="21"/>
        </w:rPr>
        <w:t xml:space="preserve">Laura Aguirre – Innovación</w:t>
      </w:r>
    </w:p>
    <w:p>
      <w:pPr>
        <w:pStyle w:val="ListParagraph"/>
        <w:numPr>
          <w:ilvl w:val="1"/>
          <w:numId w:val="2"/>
        </w:numPr>
        <w:spacing w:after="40" w:before="40"/>
      </w:pPr>
      <w:r>
        <w:rPr>
          <w:rFonts w:ascii="Arial" w:cs="Arial" w:eastAsia="Arial" w:hAnsi="Arial"/>
          <w:color w:val="374151"/>
          <w:sz w:val="21"/>
          <w:szCs w:val="21"/>
        </w:rPr>
        <w:t xml:space="preserve">Juan Camilo Silva – IA &amp; Estrategia</w:t>
      </w:r>
    </w:p>
    <w:p>
      <w:pPr>
        <w:pStyle w:val="ListParagraph"/>
        <w:numPr>
          <w:ilvl w:val="1"/>
          <w:numId w:val="2"/>
        </w:numPr>
        <w:spacing w:after="40" w:before="40"/>
      </w:pPr>
      <w:r>
        <w:rPr>
          <w:rFonts w:ascii="Arial" w:cs="Arial" w:eastAsia="Arial" w:hAnsi="Arial"/>
          <w:color w:val="374151"/>
          <w:sz w:val="21"/>
          <w:szCs w:val="21"/>
        </w:rPr>
        <w:t xml:space="preserve">Camila Rodríguez – Marketing Digital</w:t>
      </w:r>
    </w:p>
    <w:p>
      <w:pPr>
        <w:pStyle w:val="ListParagraph"/>
        <w:numPr>
          <w:ilvl w:val="1"/>
          <w:numId w:val="2"/>
        </w:numPr>
        <w:spacing w:after="40" w:before="40"/>
      </w:pPr>
      <w:r>
        <w:rPr>
          <w:rFonts w:ascii="Arial" w:cs="Arial" w:eastAsia="Arial" w:hAnsi="Arial"/>
          <w:color w:val="374151"/>
          <w:sz w:val="21"/>
          <w:szCs w:val="21"/>
        </w:rPr>
        <w:t xml:space="preserve">Miguel Buitrago – Mentalidad &amp; Ventas</w:t>
      </w:r>
    </w:p>
    <w:p>
      <w:pPr>
        <w:pStyle w:val="ListParagraph"/>
        <w:numPr>
          <w:ilvl w:val="1"/>
          <w:numId w:val="2"/>
        </w:numPr>
        <w:spacing w:after="40" w:before="40"/>
      </w:pPr>
      <w:r>
        <w:rPr>
          <w:rFonts w:ascii="Arial" w:cs="Arial" w:eastAsia="Arial" w:hAnsi="Arial"/>
          <w:color w:val="374151"/>
          <w:sz w:val="21"/>
          <w:szCs w:val="21"/>
        </w:rPr>
        <w:t xml:space="preserve">Juan Vargas – Dropshipping &amp; eCommerce</w:t>
      </w:r>
    </w:p>
    <w:p>
      <w:pPr>
        <w:pStyle w:val="ListParagraph"/>
        <w:numPr>
          <w:ilvl w:val="1"/>
          <w:numId w:val="2"/>
        </w:numPr>
        <w:spacing w:after="40" w:before="40"/>
      </w:pPr>
      <w:r>
        <w:rPr>
          <w:rFonts w:ascii="Arial" w:cs="Arial" w:eastAsia="Arial" w:hAnsi="Arial"/>
          <w:color w:val="374151"/>
          <w:sz w:val="21"/>
          <w:szCs w:val="21"/>
        </w:rPr>
        <w:t xml:space="preserve">Kenny Barrios Jure – Partner Digital</w:t>
      </w:r>
    </w:p>
    <w:p>
      <w:pPr>
        <w:pStyle w:val="ListParagraph"/>
        <w:numPr>
          <w:ilvl w:val="1"/>
          <w:numId w:val="2"/>
        </w:numPr>
        <w:spacing w:after="40" w:before="40"/>
      </w:pPr>
      <w:r>
        <w:rPr>
          <w:rFonts w:ascii="Arial" w:cs="Arial" w:eastAsia="Arial" w:hAnsi="Arial"/>
          <w:color w:val="374151"/>
          <w:sz w:val="21"/>
          <w:szCs w:val="21"/>
        </w:rPr>
        <w:t xml:space="preserve">Faider Altamar – IA, SaaS &amp; eCommerce</w:t>
      </w:r>
    </w:p>
    <w:p>
      <w:pPr>
        <w:pStyle w:val="ListParagraph"/>
        <w:numPr>
          <w:ilvl w:val="1"/>
          <w:numId w:val="2"/>
        </w:numPr>
        <w:spacing w:after="40" w:before="40"/>
      </w:pPr>
      <w:r>
        <w:rPr>
          <w:rFonts w:ascii="Arial" w:cs="Arial" w:eastAsia="Arial" w:hAnsi="Arial"/>
          <w:color w:val="374151"/>
          <w:sz w:val="21"/>
          <w:szCs w:val="21"/>
        </w:rPr>
        <w:t xml:space="preserve">Mike Munzvil – Negocios Digitales, IA, eCommerce (incorporado recientemente)</w:t>
      </w:r>
    </w:p>
    <w:p>
      <w:pPr>
        <w:spacing w:after="80" w:before="0"/>
      </w:pPr>
      <w:r>
        <w:t xml:space="preserve"/>
      </w:r>
    </w:p>
    <w:p>
      <w:pPr>
        <w:spacing w:after="120" w:before="260"/>
      </w:pPr>
      <w:r>
        <w:rPr>
          <w:rFonts w:ascii="Arial" w:cs="Arial" w:eastAsia="Arial" w:hAnsi="Arial"/>
          <w:b/>
          <w:bCs/>
          <w:color w:val="374151"/>
          <w:sz w:val="26"/>
          <w:szCs w:val="26"/>
        </w:rPr>
        <w:t xml:space="preserve">2.3 Sistema de Tickets</w:t>
      </w:r>
    </w:p>
    <w:p>
      <w:pPr>
        <w:pStyle w:val="ListParagraph"/>
        <w:numPr>
          <w:ilvl w:val="0"/>
          <w:numId w:val="2"/>
        </w:numPr>
        <w:spacing w:after="40" w:before="40"/>
      </w:pPr>
      <w:r>
        <w:rPr>
          <w:rFonts w:ascii="Arial" w:cs="Arial" w:eastAsia="Arial" w:hAnsi="Arial"/>
          <w:color w:val="374151"/>
          <w:sz w:val="21"/>
          <w:szCs w:val="21"/>
        </w:rPr>
        <w:t xml:space="preserve">4 niveles de ticket diferenciados con propuesta de valor 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Nivel</w:t>
            </w:r>
          </w:p>
        </w:tc>
        <w:tc>
          <w:tcPr>
            <w:tcW w:type="dxa" w:w="20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Precio</w:t>
            </w:r>
          </w:p>
        </w:tc>
        <w:tc>
          <w:tcPr>
            <w:tcW w:type="dxa" w:w="268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Acceso</w:t>
            </w:r>
          </w:p>
        </w:tc>
        <w:tc>
          <w:tcPr>
            <w:tcW w:type="dxa" w:w="268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Beneficio clave</w:t>
            </w:r>
          </w:p>
        </w:tc>
      </w:tr>
      <w:tr>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General</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$129.000 COP</w:t>
            </w:r>
          </w:p>
        </w:tc>
        <w:tc>
          <w:tcPr>
            <w:tcW w:type="dxa" w:w="2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Día 2 – Conferencias</w:t>
            </w:r>
          </w:p>
        </w:tc>
        <w:tc>
          <w:tcPr>
            <w:tcW w:type="dxa" w:w="2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Acceso a 15+ speakers</w:t>
            </w:r>
          </w:p>
        </w:tc>
      </w:tr>
      <w:tr>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VIP</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$249.000 COP</w:t>
            </w:r>
          </w:p>
        </w:tc>
        <w:tc>
          <w:tcPr>
            <w:tcW w:type="dxa" w:w="2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Días 1 y 2</w:t>
            </w:r>
          </w:p>
        </w:tc>
        <w:tc>
          <w:tcPr>
            <w:tcW w:type="dxa" w:w="2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Zona VIP + Cóctel apertura + Meet &amp; Greet</w:t>
            </w:r>
          </w:p>
        </w:tc>
      </w:tr>
      <w:tr>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Diamante</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$497.000 COP</w:t>
            </w:r>
          </w:p>
        </w:tc>
        <w:tc>
          <w:tcPr>
            <w:tcW w:type="dxa" w:w="2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Días 1 y 2</w:t>
            </w:r>
          </w:p>
        </w:tc>
        <w:tc>
          <w:tcPr>
            <w:tcW w:type="dxa" w:w="2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Zona Diamante + Directorio de contactos</w:t>
            </w:r>
          </w:p>
        </w:tc>
      </w:tr>
      <w:tr>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Diamante Black</w:t>
            </w:r>
          </w:p>
        </w:tc>
        <w:tc>
          <w:tcPr>
            <w:tcW w:type="dxa" w:w="20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$1.499.000 COP</w:t>
            </w:r>
          </w:p>
        </w:tc>
        <w:tc>
          <w:tcPr>
            <w:tcW w:type="dxa" w:w="2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Los 3 días completos</w:t>
            </w:r>
          </w:p>
        </w:tc>
        <w:tc>
          <w:tcPr>
            <w:tcW w:type="dxa" w:w="268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Mastermind exclusivo Día 3 + cupo limitado 50–60 personas</w:t>
            </w:r>
          </w:p>
        </w:tc>
      </w:tr>
    </w:tbl>
    <w:p>
      <w:pPr>
        <w:spacing w:after="80" w:before="0"/>
      </w:pPr>
      <w:r>
        <w:t xml:space="preserve"/>
      </w:r>
    </w:p>
    <w:p>
      <w:pPr>
        <w:pStyle w:val="ListParagraph"/>
        <w:numPr>
          <w:ilvl w:val="0"/>
          <w:numId w:val="2"/>
        </w:numPr>
        <w:spacing w:after="40" w:before="40"/>
      </w:pPr>
      <w:r>
        <w:rPr>
          <w:rFonts w:ascii="Arial" w:cs="Arial" w:eastAsia="Arial" w:hAnsi="Arial"/>
          <w:color w:val="374151"/>
          <w:sz w:val="21"/>
          <w:szCs w:val="21"/>
        </w:rPr>
        <w:t xml:space="preserve">Descripción mejorada del Mastermind (Diamante Black): "Mastermind exclusivo de implementación: trabaja junto a expertos en estrategias reales de crecimiento, Inteligencia Artificial y eCommerce que podrás aplicar inmediatamente en tu negocio."</w:t>
      </w:r>
    </w:p>
    <w:p>
      <w:pPr>
        <w:pStyle w:val="ListParagraph"/>
        <w:numPr>
          <w:ilvl w:val="0"/>
          <w:numId w:val="2"/>
        </w:numPr>
        <w:spacing w:after="40" w:before="40"/>
      </w:pPr>
      <w:r>
        <w:rPr>
          <w:rFonts w:ascii="Arial" w:cs="Arial" w:eastAsia="Arial" w:hAnsi="Arial"/>
          <w:color w:val="374151"/>
          <w:sz w:val="21"/>
          <w:szCs w:val="21"/>
        </w:rPr>
        <w:t xml:space="preserve">Diseño responsive adaptado a dispositivos móviles (375px+)</w:t>
      </w:r>
    </w:p>
    <w:p>
      <w:pPr>
        <w:spacing w:after="80" w:before="0"/>
      </w:pPr>
      <w:r>
        <w:t xml:space="preserve"/>
      </w:r>
    </w:p>
    <w:p>
      <w:pPr>
        <w:spacing w:after="120" w:before="260"/>
      </w:pPr>
      <w:r>
        <w:rPr>
          <w:rFonts w:ascii="Arial" w:cs="Arial" w:eastAsia="Arial" w:hAnsi="Arial"/>
          <w:b/>
          <w:bCs/>
          <w:color w:val="374151"/>
          <w:sz w:val="26"/>
          <w:szCs w:val="26"/>
        </w:rPr>
        <w:t xml:space="preserve">2.4 Programa del Evento — 3 Días</w:t>
      </w:r>
    </w:p>
    <w:p>
      <w:pPr>
        <w:pStyle w:val="ListParagraph"/>
        <w:numPr>
          <w:ilvl w:val="0"/>
          <w:numId w:val="2"/>
        </w:numPr>
        <w:spacing w:after="40" w:before="40"/>
      </w:pPr>
      <w:r>
        <w:rPr>
          <w:rFonts w:ascii="Arial" w:cs="Arial" w:eastAsia="Arial" w:hAnsi="Arial"/>
          <w:color w:val="374151"/>
          <w:sz w:val="21"/>
          <w:szCs w:val="21"/>
        </w:rPr>
        <w:t xml:space="preserve">Día 1 (11 Sep) – Noche de Gala: keynote inaugural, vitrina de sponsors, cóctel VIP, dress code elegant chic</w:t>
      </w:r>
    </w:p>
    <w:p>
      <w:pPr>
        <w:pStyle w:val="ListParagraph"/>
        <w:numPr>
          <w:ilvl w:val="0"/>
          <w:numId w:val="2"/>
        </w:numPr>
        <w:spacing w:after="40" w:before="40"/>
      </w:pPr>
      <w:r>
        <w:rPr>
          <w:rFonts w:ascii="Arial" w:cs="Arial" w:eastAsia="Arial" w:hAnsi="Arial"/>
          <w:color w:val="374151"/>
          <w:sz w:val="21"/>
          <w:szCs w:val="21"/>
        </w:rPr>
        <w:t xml:space="preserve">Día 2 (12 Sep) – Conferencias: 15+ speakers, sesiones de IA y eCommerce, Q&amp;A en vivo, zonas de networking</w:t>
      </w:r>
    </w:p>
    <w:p>
      <w:pPr>
        <w:pStyle w:val="ListParagraph"/>
        <w:numPr>
          <w:ilvl w:val="0"/>
          <w:numId w:val="2"/>
        </w:numPr>
        <w:spacing w:after="40" w:before="40"/>
      </w:pPr>
      <w:r>
        <w:rPr>
          <w:rFonts w:ascii="Arial" w:cs="Arial" w:eastAsia="Arial" w:hAnsi="Arial"/>
          <w:color w:val="374151"/>
          <w:sz w:val="21"/>
          <w:szCs w:val="21"/>
        </w:rPr>
        <w:t xml:space="preserve">Día 3 (13 Sep) – Mastermind exclusivo: solo para Diamante Black, 50–60 cupos, 3 metodologías, mentoría grupal</w:t>
      </w:r>
    </w:p>
    <w:p>
      <w:pPr>
        <w:pStyle w:val="ListParagraph"/>
        <w:numPr>
          <w:ilvl w:val="0"/>
          <w:numId w:val="2"/>
        </w:numPr>
        <w:spacing w:after="40" w:before="40"/>
      </w:pPr>
      <w:r>
        <w:rPr>
          <w:rFonts w:ascii="Arial" w:cs="Arial" w:eastAsia="Arial" w:hAnsi="Arial"/>
          <w:color w:val="374151"/>
          <w:sz w:val="21"/>
          <w:szCs w:val="21"/>
        </w:rPr>
        <w:t xml:space="preserve">Ruta Gastronómica eliminada del programa del Día de Gala (ajuste solicitado)</w:t>
      </w:r>
    </w:p>
    <w:p>
      <w:pPr>
        <w:spacing w:after="80" w:before="0"/>
      </w:pPr>
      <w:r>
        <w:t xml:space="preserve"/>
      </w:r>
    </w:p>
    <w:p>
      <w:pPr>
        <w:spacing w:after="120" w:before="260"/>
      </w:pPr>
      <w:r>
        <w:rPr>
          <w:rFonts w:ascii="Arial" w:cs="Arial" w:eastAsia="Arial" w:hAnsi="Arial"/>
          <w:b/>
          <w:bCs/>
          <w:color w:val="374151"/>
          <w:sz w:val="26"/>
          <w:szCs w:val="26"/>
        </w:rPr>
        <w:t xml:space="preserve">2.5 Marco Legal del Evento</w:t>
      </w:r>
    </w:p>
    <w:p>
      <w:pPr>
        <w:pStyle w:val="ListParagraph"/>
        <w:numPr>
          <w:ilvl w:val="0"/>
          <w:numId w:val="2"/>
        </w:numPr>
        <w:spacing w:after="40" w:before="40"/>
      </w:pPr>
      <w:r>
        <w:rPr>
          <w:rFonts w:ascii="Arial" w:cs="Arial" w:eastAsia="Arial" w:hAnsi="Arial"/>
          <w:color w:val="374151"/>
          <w:sz w:val="21"/>
          <w:szCs w:val="21"/>
        </w:rPr>
        <w:t xml:space="preserve">Página de Términos y Condiciones — Ley colombiana, condiciones de compra, reembolsos y responsabilidades</w:t>
      </w:r>
    </w:p>
    <w:p>
      <w:pPr>
        <w:pStyle w:val="ListParagraph"/>
        <w:numPr>
          <w:ilvl w:val="0"/>
          <w:numId w:val="2"/>
        </w:numPr>
        <w:spacing w:after="40" w:before="40"/>
      </w:pPr>
      <w:r>
        <w:rPr>
          <w:rFonts w:ascii="Arial" w:cs="Arial" w:eastAsia="Arial" w:hAnsi="Arial"/>
          <w:color w:val="374151"/>
          <w:sz w:val="21"/>
          <w:szCs w:val="21"/>
        </w:rPr>
        <w:t xml:space="preserve">Política de Privacidad — Cumplimiento Ley 1581 de 2012 (Habeas Data)</w:t>
      </w:r>
    </w:p>
    <w:p>
      <w:pPr>
        <w:pStyle w:val="ListParagraph"/>
        <w:numPr>
          <w:ilvl w:val="0"/>
          <w:numId w:val="2"/>
        </w:numPr>
        <w:spacing w:after="40" w:before="40"/>
      </w:pPr>
      <w:r>
        <w:rPr>
          <w:rFonts w:ascii="Arial" w:cs="Arial" w:eastAsia="Arial" w:hAnsi="Arial"/>
          <w:color w:val="374151"/>
          <w:sz w:val="21"/>
          <w:szCs w:val="21"/>
        </w:rPr>
        <w:t xml:space="preserve">Sección de Preguntas Frecuentes (FAQ) integrada en el sitio</w:t>
      </w:r>
    </w:p>
    <w:p>
      <w:pPr>
        <w:spacing w:after="80" w:before="0"/>
      </w:pPr>
      <w:r>
        <w:t xml:space="preserve"/>
      </w:r>
    </w:p>
    <w:p>
      <w:pPr>
        <w:spacing w:after="120" w:before="260"/>
      </w:pPr>
      <w:r>
        <w:rPr>
          <w:rFonts w:ascii="Arial" w:cs="Arial" w:eastAsia="Arial" w:hAnsi="Arial"/>
          <w:b/>
          <w:bCs/>
          <w:color w:val="374151"/>
          <w:sz w:val="26"/>
          <w:szCs w:val="26"/>
        </w:rPr>
        <w:t xml:space="preserve">2.6 Sistema de Patrocinadores y Aliados</w:t>
      </w:r>
    </w:p>
    <w:p>
      <w:pPr>
        <w:pStyle w:val="ListParagraph"/>
        <w:numPr>
          <w:ilvl w:val="0"/>
          <w:numId w:val="2"/>
        </w:numPr>
        <w:spacing w:after="40" w:before="40"/>
      </w:pPr>
      <w:r>
        <w:rPr>
          <w:rFonts w:ascii="Arial" w:cs="Arial" w:eastAsia="Arial" w:hAnsi="Arial"/>
          <w:color w:val="374151"/>
          <w:sz w:val="21"/>
          <w:szCs w:val="21"/>
        </w:rPr>
        <w:t xml:space="preserve">4 niveles de patrocinio definidos y desplegados en el sitio:</w:t>
      </w:r>
    </w:p>
    <w:p>
      <w:pPr>
        <w:pStyle w:val="ListParagraph"/>
        <w:numPr>
          <w:ilvl w:val="1"/>
          <w:numId w:val="2"/>
        </w:numPr>
        <w:spacing w:after="40" w:before="40"/>
      </w:pPr>
      <w:r>
        <w:rPr>
          <w:rFonts w:ascii="Arial" w:cs="Arial" w:eastAsia="Arial" w:hAnsi="Arial"/>
          <w:color w:val="374151"/>
          <w:sz w:val="21"/>
          <w:szCs w:val="21"/>
        </w:rPr>
        <w:t xml:space="preserve">Platino: stand 16m², 3 entradas Diamante Black + 35 General</w:t>
      </w:r>
    </w:p>
    <w:p>
      <w:pPr>
        <w:pStyle w:val="ListParagraph"/>
        <w:numPr>
          <w:ilvl w:val="1"/>
          <w:numId w:val="2"/>
        </w:numPr>
        <w:spacing w:after="40" w:before="40"/>
      </w:pPr>
      <w:r>
        <w:rPr>
          <w:rFonts w:ascii="Arial" w:cs="Arial" w:eastAsia="Arial" w:hAnsi="Arial"/>
          <w:color w:val="374151"/>
          <w:sz w:val="21"/>
          <w:szCs w:val="21"/>
        </w:rPr>
        <w:t xml:space="preserve">Oro: stand 9m², 1 entrada Diamante Black + 20 General</w:t>
      </w:r>
    </w:p>
    <w:p>
      <w:pPr>
        <w:pStyle w:val="ListParagraph"/>
        <w:numPr>
          <w:ilvl w:val="1"/>
          <w:numId w:val="2"/>
        </w:numPr>
        <w:spacing w:after="40" w:before="40"/>
      </w:pPr>
      <w:r>
        <w:rPr>
          <w:rFonts w:ascii="Arial" w:cs="Arial" w:eastAsia="Arial" w:hAnsi="Arial"/>
          <w:color w:val="374151"/>
          <w:sz w:val="21"/>
          <w:szCs w:val="21"/>
        </w:rPr>
        <w:t xml:space="preserve">Plata: stand 4m², 1 Diamante + 10 General</w:t>
      </w:r>
    </w:p>
    <w:p>
      <w:pPr>
        <w:pStyle w:val="ListParagraph"/>
        <w:numPr>
          <w:ilvl w:val="1"/>
          <w:numId w:val="2"/>
        </w:numPr>
        <w:spacing w:after="40" w:before="40"/>
      </w:pPr>
      <w:r>
        <w:rPr>
          <w:rFonts w:ascii="Arial" w:cs="Arial" w:eastAsia="Arial" w:hAnsi="Arial"/>
          <w:color w:val="374151"/>
          <w:sz w:val="21"/>
          <w:szCs w:val="21"/>
        </w:rPr>
        <w:t xml:space="preserve">Bronce: visibilidad digital, 2 entradas General</w:t>
      </w:r>
    </w:p>
    <w:p>
      <w:pPr>
        <w:pStyle w:val="ListParagraph"/>
        <w:numPr>
          <w:ilvl w:val="0"/>
          <w:numId w:val="2"/>
        </w:numPr>
        <w:spacing w:after="40" w:before="40"/>
      </w:pPr>
      <w:r>
        <w:rPr>
          <w:rFonts w:ascii="Arial" w:cs="Arial" w:eastAsia="Arial" w:hAnsi="Arial"/>
          <w:color w:val="374151"/>
          <w:sz w:val="21"/>
          <w:szCs w:val="21"/>
        </w:rPr>
        <w:t xml:space="preserve">Logos de aliados integrados: Alcaldía de Tuluá, Cámara de Comercio, GrupoEffi, MasterCommerce, TechnoLabs, entre otros</w:t>
      </w:r>
    </w:p>
    <w:p>
      <w:pPr>
        <w:spacing w:after="80" w:before="0"/>
      </w:pPr>
      <w:r>
        <w:t xml:space="preserve"/>
      </w:r>
    </w:p>
    <w:p>
      <w:pPr>
        <w:spacing w:after="120" w:before="260"/>
      </w:pPr>
      <w:r>
        <w:rPr>
          <w:rFonts w:ascii="Arial" w:cs="Arial" w:eastAsia="Arial" w:hAnsi="Arial"/>
          <w:b/>
          <w:bCs/>
          <w:color w:val="374151"/>
          <w:sz w:val="26"/>
          <w:szCs w:val="26"/>
        </w:rPr>
        <w:t xml:space="preserve">2.7 Optimizaciones Técnicas y Presentación</w:t>
      </w:r>
    </w:p>
    <w:p>
      <w:pPr>
        <w:pStyle w:val="ListParagraph"/>
        <w:numPr>
          <w:ilvl w:val="0"/>
          <w:numId w:val="2"/>
        </w:numPr>
        <w:spacing w:after="40" w:before="40"/>
      </w:pPr>
      <w:r>
        <w:rPr>
          <w:rFonts w:ascii="Arial" w:cs="Arial" w:eastAsia="Arial" w:hAnsi="Arial"/>
          <w:color w:val="374151"/>
          <w:sz w:val="21"/>
          <w:szCs w:val="21"/>
        </w:rPr>
        <w:t xml:space="preserve">Meta Pixel de Facebook instalado (ID: 481397476029941) para remarketing y audiencias personalizadas</w:t>
      </w:r>
    </w:p>
    <w:p>
      <w:pPr>
        <w:pStyle w:val="ListParagraph"/>
        <w:numPr>
          <w:ilvl w:val="0"/>
          <w:numId w:val="2"/>
        </w:numPr>
        <w:spacing w:after="40" w:before="40"/>
      </w:pPr>
      <w:r>
        <w:rPr>
          <w:rFonts w:ascii="Arial" w:cs="Arial" w:eastAsia="Arial" w:hAnsi="Arial"/>
          <w:color w:val="374151"/>
          <w:sz w:val="21"/>
          <w:szCs w:val="21"/>
        </w:rPr>
        <w:t xml:space="preserve">Diseño 100% responsive para iOS y Android</w:t>
      </w:r>
    </w:p>
    <w:p>
      <w:pPr>
        <w:pStyle w:val="ListParagraph"/>
        <w:numPr>
          <w:ilvl w:val="0"/>
          <w:numId w:val="2"/>
        </w:numPr>
        <w:spacing w:after="40" w:before="40"/>
      </w:pPr>
      <w:r>
        <w:rPr>
          <w:rFonts w:ascii="Arial" w:cs="Arial" w:eastAsia="Arial" w:hAnsi="Arial"/>
          <w:color w:val="374151"/>
          <w:sz w:val="21"/>
          <w:szCs w:val="21"/>
        </w:rPr>
        <w:t xml:space="preserve">Corrección del carrusel de speakers en iOS (overflow clip + restart de animación)</w:t>
      </w:r>
    </w:p>
    <w:p>
      <w:pPr>
        <w:pStyle w:val="ListParagraph"/>
        <w:numPr>
          <w:ilvl w:val="0"/>
          <w:numId w:val="2"/>
        </w:numPr>
        <w:spacing w:after="40" w:before="40"/>
      </w:pPr>
      <w:r>
        <w:rPr>
          <w:rFonts w:ascii="Arial" w:cs="Arial" w:eastAsia="Arial" w:hAnsi="Arial"/>
          <w:color w:val="374151"/>
          <w:sz w:val="21"/>
          <w:szCs w:val="21"/>
        </w:rPr>
        <w:t xml:space="preserve">Flip cards compatibles con todos los navegadores modernos</w:t>
      </w:r>
    </w:p>
    <w:p>
      <w:pPr>
        <w:pStyle w:val="ListParagraph"/>
        <w:numPr>
          <w:ilvl w:val="0"/>
          <w:numId w:val="2"/>
        </w:numPr>
        <w:spacing w:after="40" w:before="40"/>
      </w:pPr>
      <w:r>
        <w:rPr>
          <w:rFonts w:ascii="Arial" w:cs="Arial" w:eastAsia="Arial" w:hAnsi="Arial"/>
          <w:color w:val="374151"/>
          <w:sz w:val="21"/>
          <w:szCs w:val="21"/>
        </w:rPr>
        <w:t xml:space="preserve">Animaciones de entrada (reveal on scroll) en todas las secciones</w:t>
      </w:r>
    </w:p>
    <w:p>
      <w:pPr>
        <w:pStyle w:val="ListParagraph"/>
        <w:numPr>
          <w:ilvl w:val="0"/>
          <w:numId w:val="2"/>
        </w:numPr>
        <w:spacing w:after="40" w:before="40"/>
      </w:pPr>
      <w:r>
        <w:rPr>
          <w:rFonts w:ascii="Arial" w:cs="Arial" w:eastAsia="Arial" w:hAnsi="Arial"/>
          <w:color w:val="374151"/>
          <w:sz w:val="21"/>
          <w:szCs w:val="21"/>
        </w:rPr>
        <w:t xml:space="preserve">Presentación interactiva de sustentación (sustentacion.html): 8 slides, navegación por teclado, tema oscuro morado</w:t>
      </w:r>
    </w:p>
    <w:p>
      <w:pPr>
        <w:pStyle w:val="ListParagraph"/>
        <w:numPr>
          <w:ilvl w:val="0"/>
          <w:numId w:val="2"/>
        </w:numPr>
        <w:spacing w:after="40" w:before="40"/>
      </w:pPr>
      <w:r>
        <w:rPr>
          <w:rFonts w:ascii="Arial" w:cs="Arial" w:eastAsia="Arial" w:hAnsi="Arial"/>
          <w:color w:val="374151"/>
          <w:sz w:val="21"/>
          <w:szCs w:val="21"/>
        </w:rPr>
        <w:t xml:space="preserve">Despliegue continuo en GitHub Pages — más de 40 commits a producción</w:t>
      </w:r>
    </w:p>
    <w:p>
      <w:pPr>
        <w:spacing w:after="80" w:before="0"/>
      </w:pPr>
      <w:r>
        <w:t xml:space="preserve"/>
      </w:r>
    </w:p>
    <w:p>
      <w:r>
        <w:br w:type="page"/>
      </w:r>
    </w:p>
    <w:p>
      <w:pPr>
        <w:pBdr>
          <w:bottom w:val="single" w:color="7C3AED" w:sz="8" w:space="4"/>
        </w:pBdr>
        <w:spacing w:after="160" w:before="360"/>
      </w:pPr>
      <w:r>
        <w:rPr>
          <w:rFonts w:ascii="Arial" w:cs="Arial" w:eastAsia="Arial" w:hAnsi="Arial"/>
          <w:b/>
          <w:bCs/>
          <w:color w:val="7C3AED"/>
          <w:sz w:val="36"/>
          <w:szCs w:val="36"/>
        </w:rPr>
        <w:t xml:space="preserve">3. Estado Actual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1700"/>
        <w:gridCol w:w="2260"/>
      </w:tblGrid>
      <w:tr>
        <w:tc>
          <w:tcPr>
            <w:tcW w:type="dxa" w:w="54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Entregable</w:t>
            </w:r>
          </w:p>
        </w:tc>
        <w:tc>
          <w:tcPr>
            <w:tcW w:type="dxa" w:w="17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center"/>
            </w:pPr>
            <w:r>
              <w:rPr>
                <w:rFonts w:ascii="Arial" w:cs="Arial" w:eastAsia="Arial" w:hAnsi="Arial"/>
                <w:b/>
                <w:bCs/>
                <w:color w:val="7C3AED"/>
                <w:sz w:val="20"/>
                <w:szCs w:val="20"/>
              </w:rPr>
              <w:t xml:space="preserve">Estado</w:t>
            </w:r>
          </w:p>
        </w:tc>
        <w:tc>
          <w:tcPr>
            <w:tcW w:type="dxa" w:w="22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Observación</w:t>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Sitio web labssummit.com en producción</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GitHub Pages</w:t>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11 Speaker cards con flip y carruseles</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4 niveles de tickets con precios y beneficios</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Descripción Mastermind Diamante Black</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Ajustada y responsiva</w:t>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Programa 3 días (Gala depurada)</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Ruta gastronómica eliminada</w:t>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Términos, Condiciones y Política de Privacidad</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Ley colombiana</w:t>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Sistema de patrocinadores 4 niveles</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Meta Pixel instalado y activo</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ID: 481397476029941</w:t>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Responsive móvil (iOS + Android)</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FAQ integrada en el sitio</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Presentación interactiva de sustentación</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16A34A"/>
                <w:sz w:val="20"/>
                <w:szCs w:val="20"/>
              </w:rPr>
              <w:t xml:space="preserve">✅ Completo</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sustentacion.html</w:t>
            </w:r>
          </w:p>
        </w:tc>
      </w:tr>
      <w:tr>
        <w:tc>
          <w:tcPr>
            <w:tcW w:type="dxa" w:w="5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Integración con plataforma tiquetera</w:t>
            </w:r>
          </w:p>
        </w:tc>
        <w:tc>
          <w:tcPr>
            <w:tcW w:type="dxa" w:w="1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bCs/>
                <w:color w:val="EA580C"/>
                <w:sz w:val="20"/>
                <w:szCs w:val="20"/>
              </w:rPr>
              <w:t xml:space="preserve">⏳ Pendiente</w:t>
            </w:r>
          </w:p>
        </w:tc>
        <w:tc>
          <w:tcPr>
            <w:tcW w:type="dxa" w:w="22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bCs/>
                <w:color w:val="EA580C"/>
                <w:sz w:val="20"/>
                <w:szCs w:val="20"/>
              </w:rPr>
              <w:t xml:space="preserve">Proyecto externo</w:t>
            </w:r>
          </w:p>
        </w:tc>
      </w:tr>
    </w:tbl>
    <w:p>
      <w:pPr>
        <w:spacing w:after="80" w:before="0"/>
      </w:pPr>
      <w:r>
        <w:t xml:space="preserve"/>
      </w:r>
    </w:p>
    <w:p>
      <w:r>
        <w:br w:type="page"/>
      </w:r>
    </w:p>
    <w:p>
      <w:pPr>
        <w:pBdr>
          <w:bottom w:val="single" w:color="7C3AED" w:sz="8" w:space="4"/>
        </w:pBdr>
        <w:spacing w:after="160" w:before="360"/>
      </w:pPr>
      <w:r>
        <w:rPr>
          <w:rFonts w:ascii="Arial" w:cs="Arial" w:eastAsia="Arial" w:hAnsi="Arial"/>
          <w:b/>
          <w:bCs/>
          <w:color w:val="7C3AED"/>
          <w:sz w:val="36"/>
          <w:szCs w:val="36"/>
        </w:rPr>
        <w:t xml:space="preserve">4. Pendiente de Acompañamiento — Integración con Tiquetera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jc w:val="left"/>
            </w:pPr>
            <w:r>
              <w:rPr>
                <w:rFonts w:ascii="Arial" w:cs="Arial" w:eastAsia="Arial" w:hAnsi="Arial"/>
                <w:b w:val="false"/>
                <w:bCs w:val="false"/>
                <w:color w:val="EA580C"/>
                <w:sz w:val="21"/>
                <w:szCs w:val="21"/>
              </w:rPr>
              <w:t xml:space="preserve">⚠️  IMPORTANTE: Este ítem es el ÚNICO pendiente de acompañamiento y corresponde a un proyecto externo, completamente independiente del desarrollo del sitio web labssummit.com.</w:t>
            </w:r>
          </w:p>
        </w:tc>
      </w:tr>
    </w:tbl>
    <w:p>
      <w:pPr>
        <w:spacing w:after="80" w:before="0"/>
      </w:pPr>
      <w:r>
        <w:t xml:space="preserve"/>
      </w:r>
    </w:p>
    <w:p>
      <w:pPr>
        <w:spacing w:after="120" w:before="260"/>
      </w:pPr>
      <w:r>
        <w:rPr>
          <w:rFonts w:ascii="Arial" w:cs="Arial" w:eastAsia="Arial" w:hAnsi="Arial"/>
          <w:b/>
          <w:bCs/>
          <w:color w:val="374151"/>
          <w:sz w:val="26"/>
          <w:szCs w:val="26"/>
        </w:rPr>
        <w:t xml:space="preserve">¿En qué consiste?</w:t>
      </w:r>
    </w:p>
    <w:p>
      <w:pPr>
        <w:spacing w:after="80" w:before="60"/>
        <w:jc w:val="left"/>
      </w:pPr>
      <w:r>
        <w:rPr>
          <w:rFonts w:ascii="Arial" w:cs="Arial" w:eastAsia="Arial" w:hAnsi="Arial"/>
          <w:b w:val="false"/>
          <w:bCs w:val="false"/>
          <w:i w:val="false"/>
          <w:iCs w:val="false"/>
          <w:color w:val="374151"/>
          <w:sz w:val="21"/>
          <w:szCs w:val="21"/>
        </w:rPr>
        <w:t xml:space="preserve">La plataforma de venta de tickets (tiquetera) es un sistema externo que el organizador seleccionó de forma independiente. La tarea pendiente consiste en conectar los botones "Registrarme" / "Tickets" del sitio web con la URL o el widget que provea dicha plataforma, de modo que los asistentes puedan completar su compra.</w:t>
      </w:r>
    </w:p>
    <w:p>
      <w:pPr>
        <w:spacing w:after="120" w:before="260"/>
      </w:pPr>
      <w:r>
        <w:rPr>
          <w:rFonts w:ascii="Arial" w:cs="Arial" w:eastAsia="Arial" w:hAnsi="Arial"/>
          <w:b/>
          <w:bCs/>
          <w:color w:val="374151"/>
          <w:sz w:val="26"/>
          <w:szCs w:val="26"/>
        </w:rPr>
        <w:t xml:space="preserve">¿Qué implica técnicamente?</w:t>
      </w:r>
    </w:p>
    <w:p>
      <w:pPr>
        <w:pStyle w:val="ListParagraph"/>
        <w:numPr>
          <w:ilvl w:val="0"/>
          <w:numId w:val="2"/>
        </w:numPr>
        <w:spacing w:after="40" w:before="40"/>
      </w:pPr>
      <w:r>
        <w:rPr>
          <w:rFonts w:ascii="Arial" w:cs="Arial" w:eastAsia="Arial" w:hAnsi="Arial"/>
          <w:color w:val="374151"/>
          <w:sz w:val="21"/>
          <w:szCs w:val="21"/>
        </w:rPr>
        <w:t xml:space="preserve">Recibir el enlace o widget de la plataforma tiquetera elegida</w:t>
      </w:r>
    </w:p>
    <w:p>
      <w:pPr>
        <w:pStyle w:val="ListParagraph"/>
        <w:numPr>
          <w:ilvl w:val="0"/>
          <w:numId w:val="2"/>
        </w:numPr>
        <w:spacing w:after="40" w:before="40"/>
      </w:pPr>
      <w:r>
        <w:rPr>
          <w:rFonts w:ascii="Arial" w:cs="Arial" w:eastAsia="Arial" w:hAnsi="Arial"/>
          <w:color w:val="374151"/>
          <w:sz w:val="21"/>
          <w:szCs w:val="21"/>
        </w:rPr>
        <w:t xml:space="preserve">Actualizar los botones de compra en el sitio (máximo 1–2 horas de trabajo)</w:t>
      </w:r>
    </w:p>
    <w:p>
      <w:pPr>
        <w:pStyle w:val="ListParagraph"/>
        <w:numPr>
          <w:ilvl w:val="0"/>
          <w:numId w:val="2"/>
        </w:numPr>
        <w:spacing w:after="40" w:before="40"/>
      </w:pPr>
      <w:r>
        <w:rPr>
          <w:rFonts w:ascii="Arial" w:cs="Arial" w:eastAsia="Arial" w:hAnsi="Arial"/>
          <w:color w:val="374151"/>
          <w:sz w:val="21"/>
          <w:szCs w:val="21"/>
        </w:rPr>
        <w:t xml:space="preserve">Verificar que el flujo de compra funcione en desktop y móvil</w:t>
      </w:r>
    </w:p>
    <w:p>
      <w:pPr>
        <w:pStyle w:val="ListParagraph"/>
        <w:numPr>
          <w:ilvl w:val="0"/>
          <w:numId w:val="2"/>
        </w:numPr>
        <w:spacing w:after="40" w:before="40"/>
      </w:pPr>
      <w:r>
        <w:rPr>
          <w:rFonts w:ascii="Arial" w:cs="Arial" w:eastAsia="Arial" w:hAnsi="Arial"/>
          <w:color w:val="374151"/>
          <w:sz w:val="21"/>
          <w:szCs w:val="21"/>
        </w:rPr>
        <w:t xml:space="preserve">Desplegar el cambio a producción</w:t>
      </w:r>
    </w:p>
    <w:p>
      <w:pPr>
        <w:spacing w:after="120" w:before="260"/>
      </w:pPr>
      <w:r>
        <w:rPr>
          <w:rFonts w:ascii="Arial" w:cs="Arial" w:eastAsia="Arial" w:hAnsi="Arial"/>
          <w:b/>
          <w:bCs/>
          <w:color w:val="374151"/>
          <w:sz w:val="26"/>
          <w:szCs w:val="26"/>
        </w:rPr>
        <w:t xml:space="preserve">¿Por qué está pendiente?</w:t>
      </w:r>
    </w:p>
    <w:p>
      <w:pPr>
        <w:spacing w:after="80" w:before="60"/>
        <w:jc w:val="left"/>
      </w:pPr>
      <w:r>
        <w:rPr>
          <w:rFonts w:ascii="Arial" w:cs="Arial" w:eastAsia="Arial" w:hAnsi="Arial"/>
          <w:b w:val="false"/>
          <w:bCs w:val="false"/>
          <w:i w:val="false"/>
          <w:iCs w:val="false"/>
          <w:color w:val="374151"/>
          <w:sz w:val="21"/>
          <w:szCs w:val="21"/>
        </w:rPr>
        <w:t xml:space="preserve">La implementación depende exclusivamente de que el organizador entregue las credenciales, enlace o iframe de la plataforma tiquetera contratada. Una vez recibida esa información, la integración al sitio web se ejecuta de inmediato dentro del acompañamiento acordado.</w:t>
      </w:r>
    </w:p>
    <w:p>
      <w:pPr>
        <w:spacing w:after="120" w:before="260"/>
      </w:pPr>
      <w:r>
        <w:rPr>
          <w:rFonts w:ascii="Arial" w:cs="Arial" w:eastAsia="Arial" w:hAnsi="Arial"/>
          <w:b/>
          <w:bCs/>
          <w:color w:val="374151"/>
          <w:sz w:val="26"/>
          <w:szCs w:val="26"/>
        </w:rPr>
        <w:t xml:space="preserve">Plataformas tiqueteras compatibles (ejemplos)</w:t>
      </w:r>
    </w:p>
    <w:p>
      <w:pPr>
        <w:pStyle w:val="ListParagraph"/>
        <w:numPr>
          <w:ilvl w:val="0"/>
          <w:numId w:val="2"/>
        </w:numPr>
        <w:spacing w:after="40" w:before="40"/>
      </w:pPr>
      <w:r>
        <w:rPr>
          <w:rFonts w:ascii="Arial" w:cs="Arial" w:eastAsia="Arial" w:hAnsi="Arial"/>
          <w:color w:val="374151"/>
          <w:sz w:val="21"/>
          <w:szCs w:val="21"/>
        </w:rPr>
        <w:t xml:space="preserve">Eventbrite – se integra con iframe o enlace directo</w:t>
      </w:r>
    </w:p>
    <w:p>
      <w:pPr>
        <w:pStyle w:val="ListParagraph"/>
        <w:numPr>
          <w:ilvl w:val="0"/>
          <w:numId w:val="2"/>
        </w:numPr>
        <w:spacing w:after="40" w:before="40"/>
      </w:pPr>
      <w:r>
        <w:rPr>
          <w:rFonts w:ascii="Arial" w:cs="Arial" w:eastAsia="Arial" w:hAnsi="Arial"/>
          <w:color w:val="374151"/>
          <w:sz w:val="21"/>
          <w:szCs w:val="21"/>
        </w:rPr>
        <w:t xml:space="preserve">Ticket Plus Colombia – enlace de compra externo</w:t>
      </w:r>
    </w:p>
    <w:p>
      <w:pPr>
        <w:pStyle w:val="ListParagraph"/>
        <w:numPr>
          <w:ilvl w:val="0"/>
          <w:numId w:val="2"/>
        </w:numPr>
        <w:spacing w:after="40" w:before="40"/>
      </w:pPr>
      <w:r>
        <w:rPr>
          <w:rFonts w:ascii="Arial" w:cs="Arial" w:eastAsia="Arial" w:hAnsi="Arial"/>
          <w:color w:val="374151"/>
          <w:sz w:val="21"/>
          <w:szCs w:val="21"/>
        </w:rPr>
        <w:t xml:space="preserve">MiEntrada.co – widget embebido</w:t>
      </w:r>
    </w:p>
    <w:p>
      <w:pPr>
        <w:pStyle w:val="ListParagraph"/>
        <w:numPr>
          <w:ilvl w:val="0"/>
          <w:numId w:val="2"/>
        </w:numPr>
        <w:spacing w:after="40" w:before="40"/>
      </w:pPr>
      <w:r>
        <w:rPr>
          <w:rFonts w:ascii="Arial" w:cs="Arial" w:eastAsia="Arial" w:hAnsi="Arial"/>
          <w:color w:val="374151"/>
          <w:sz w:val="21"/>
          <w:szCs w:val="21"/>
        </w:rPr>
        <w:t xml:space="preserve">Cualquier otra plataforma que provea un enlace o código de integración</w:t>
      </w:r>
    </w:p>
    <w:p>
      <w:pPr>
        <w:spacing w:after="80" w:before="0"/>
      </w:pPr>
      <w:r>
        <w:t xml:space="preserve"/>
      </w:r>
    </w:p>
    <w:p>
      <w:r>
        <w:br w:type="page"/>
      </w:r>
    </w:p>
    <w:p>
      <w:pPr>
        <w:pBdr>
          <w:bottom w:val="single" w:color="7C3AED" w:sz="8" w:space="4"/>
        </w:pBdr>
        <w:spacing w:after="160" w:before="360"/>
      </w:pPr>
      <w:r>
        <w:rPr>
          <w:rFonts w:ascii="Arial" w:cs="Arial" w:eastAsia="Arial" w:hAnsi="Arial"/>
          <w:b/>
          <w:bCs/>
          <w:color w:val="7C3AED"/>
          <w:sz w:val="36"/>
          <w:szCs w:val="36"/>
        </w:rPr>
        <w:t xml:space="preserve">5. Compromisos y Garantías del Acompañamiento</w:t>
      </w:r>
    </w:p>
    <w:p>
      <w:pPr>
        <w:spacing w:after="120" w:before="260"/>
      </w:pPr>
      <w:r>
        <w:rPr>
          <w:rFonts w:ascii="Arial" w:cs="Arial" w:eastAsia="Arial" w:hAnsi="Arial"/>
          <w:b/>
          <w:bCs/>
          <w:color w:val="374151"/>
          <w:sz w:val="26"/>
          <w:szCs w:val="26"/>
        </w:rPr>
        <w:t xml:space="preserve">5.1 Garantías técnicas del sitio web</w:t>
      </w:r>
    </w:p>
    <w:p>
      <w:pPr>
        <w:pStyle w:val="ListParagraph"/>
        <w:numPr>
          <w:ilvl w:val="0"/>
          <w:numId w:val="2"/>
        </w:numPr>
        <w:spacing w:after="40" w:before="40"/>
      </w:pPr>
      <w:r>
        <w:rPr>
          <w:rFonts w:ascii="Arial" w:cs="Arial" w:eastAsia="Arial" w:hAnsi="Arial"/>
          <w:color w:val="374151"/>
          <w:sz w:val="21"/>
          <w:szCs w:val="21"/>
        </w:rPr>
        <w:t xml:space="preserve">El sitio web funcionará correctamente en los navegadores modernos: Chrome, Firefox, Safari, Edge</w:t>
      </w:r>
    </w:p>
    <w:p>
      <w:pPr>
        <w:pStyle w:val="ListParagraph"/>
        <w:numPr>
          <w:ilvl w:val="0"/>
          <w:numId w:val="2"/>
        </w:numPr>
        <w:spacing w:after="40" w:before="40"/>
      </w:pPr>
      <w:r>
        <w:rPr>
          <w:rFonts w:ascii="Arial" w:cs="Arial" w:eastAsia="Arial" w:hAnsi="Arial"/>
          <w:color w:val="374151"/>
          <w:sz w:val="21"/>
          <w:szCs w:val="21"/>
        </w:rPr>
        <w:t xml:space="preserve">El diseño es completamente responsivo y adaptado para dispositivos móviles (iOS y Android)</w:t>
      </w:r>
    </w:p>
    <w:p>
      <w:pPr>
        <w:pStyle w:val="ListParagraph"/>
        <w:numPr>
          <w:ilvl w:val="0"/>
          <w:numId w:val="2"/>
        </w:numPr>
        <w:spacing w:after="40" w:before="40"/>
      </w:pPr>
      <w:r>
        <w:rPr>
          <w:rFonts w:ascii="Arial" w:cs="Arial" w:eastAsia="Arial" w:hAnsi="Arial"/>
          <w:color w:val="374151"/>
          <w:sz w:val="21"/>
          <w:szCs w:val="21"/>
        </w:rPr>
        <w:t xml:space="preserve">El sitio está desplegado en infraestructura de GitHub Pages con alta disponibilidad</w:t>
      </w:r>
    </w:p>
    <w:p>
      <w:pPr>
        <w:pStyle w:val="ListParagraph"/>
        <w:numPr>
          <w:ilvl w:val="0"/>
          <w:numId w:val="2"/>
        </w:numPr>
        <w:spacing w:after="40" w:before="40"/>
      </w:pPr>
      <w:r>
        <w:rPr>
          <w:rFonts w:ascii="Arial" w:cs="Arial" w:eastAsia="Arial" w:hAnsi="Arial"/>
          <w:color w:val="374151"/>
          <w:sz w:val="21"/>
          <w:szCs w:val="21"/>
        </w:rPr>
        <w:t xml:space="preserve">El Meta Pixel está activo y listo para campañas publicitarias en Meta Ads</w:t>
      </w:r>
    </w:p>
    <w:p>
      <w:pPr>
        <w:pStyle w:val="ListParagraph"/>
        <w:numPr>
          <w:ilvl w:val="0"/>
          <w:numId w:val="2"/>
        </w:numPr>
        <w:spacing w:after="40" w:before="40"/>
      </w:pPr>
      <w:r>
        <w:rPr>
          <w:rFonts w:ascii="Arial" w:cs="Arial" w:eastAsia="Arial" w:hAnsi="Arial"/>
          <w:color w:val="374151"/>
          <w:sz w:val="21"/>
          <w:szCs w:val="21"/>
        </w:rPr>
        <w:t xml:space="preserve">Las páginas legales cumplen con la normatividad colombiana vigente (Ley 1581 de 2012)</w:t>
      </w:r>
    </w:p>
    <w:p>
      <w:pPr>
        <w:spacing w:after="120" w:before="260"/>
      </w:pPr>
      <w:r>
        <w:rPr>
          <w:rFonts w:ascii="Arial" w:cs="Arial" w:eastAsia="Arial" w:hAnsi="Arial"/>
          <w:b/>
          <w:bCs/>
          <w:color w:val="374151"/>
          <w:sz w:val="26"/>
          <w:szCs w:val="26"/>
        </w:rPr>
        <w:t xml:space="preserve">5.2 Compromisos de acompañamiento continuado</w:t>
      </w:r>
    </w:p>
    <w:p>
      <w:pPr>
        <w:pStyle w:val="ListParagraph"/>
        <w:numPr>
          <w:ilvl w:val="0"/>
          <w:numId w:val="2"/>
        </w:numPr>
        <w:spacing w:after="40" w:before="40"/>
      </w:pPr>
      <w:r>
        <w:rPr>
          <w:rFonts w:ascii="Arial" w:cs="Arial" w:eastAsia="Arial" w:hAnsi="Arial"/>
          <w:color w:val="374151"/>
          <w:sz w:val="21"/>
          <w:szCs w:val="21"/>
        </w:rPr>
        <w:t xml:space="preserve">Disponibilidad para incorporar nuevos speakers en cualquier momento antes del evento</w:t>
      </w:r>
    </w:p>
    <w:p>
      <w:pPr>
        <w:pStyle w:val="ListParagraph"/>
        <w:numPr>
          <w:ilvl w:val="0"/>
          <w:numId w:val="2"/>
        </w:numPr>
        <w:spacing w:after="40" w:before="40"/>
      </w:pPr>
      <w:r>
        <w:rPr>
          <w:rFonts w:ascii="Arial" w:cs="Arial" w:eastAsia="Arial" w:hAnsi="Arial"/>
          <w:color w:val="374151"/>
          <w:sz w:val="21"/>
          <w:szCs w:val="21"/>
        </w:rPr>
        <w:t xml:space="preserve">Actualización de información del programa, fechas y contenidos</w:t>
      </w:r>
    </w:p>
    <w:p>
      <w:pPr>
        <w:pStyle w:val="ListParagraph"/>
        <w:numPr>
          <w:ilvl w:val="0"/>
          <w:numId w:val="2"/>
        </w:numPr>
        <w:spacing w:after="40" w:before="40"/>
      </w:pPr>
      <w:r>
        <w:rPr>
          <w:rFonts w:ascii="Arial" w:cs="Arial" w:eastAsia="Arial" w:hAnsi="Arial"/>
          <w:color w:val="374151"/>
          <w:sz w:val="21"/>
          <w:szCs w:val="21"/>
        </w:rPr>
        <w:t xml:space="preserve">Integración con la tiquetera una vez se provea la información de la plataforma elegida</w:t>
      </w:r>
    </w:p>
    <w:p>
      <w:pPr>
        <w:pStyle w:val="ListParagraph"/>
        <w:numPr>
          <w:ilvl w:val="0"/>
          <w:numId w:val="2"/>
        </w:numPr>
        <w:spacing w:after="40" w:before="40"/>
      </w:pPr>
      <w:r>
        <w:rPr>
          <w:rFonts w:ascii="Arial" w:cs="Arial" w:eastAsia="Arial" w:hAnsi="Arial"/>
          <w:color w:val="374151"/>
          <w:sz w:val="21"/>
          <w:szCs w:val="21"/>
        </w:rPr>
        <w:t xml:space="preserve">Soporte para cualquier ajuste de contenido o corrección visual</w:t>
      </w:r>
    </w:p>
    <w:p>
      <w:pPr>
        <w:pStyle w:val="ListParagraph"/>
        <w:numPr>
          <w:ilvl w:val="0"/>
          <w:numId w:val="2"/>
        </w:numPr>
        <w:spacing w:after="40" w:before="40"/>
      </w:pPr>
      <w:r>
        <w:rPr>
          <w:rFonts w:ascii="Arial" w:cs="Arial" w:eastAsia="Arial" w:hAnsi="Arial"/>
          <w:color w:val="374151"/>
          <w:sz w:val="21"/>
          <w:szCs w:val="21"/>
        </w:rPr>
        <w:t xml:space="preserve">Asistencia en la configuración de campañas de Meta Ads usando el Pixel instalado</w:t>
      </w:r>
    </w:p>
    <w:p>
      <w:pPr>
        <w:spacing w:after="120" w:before="260"/>
      </w:pPr>
      <w:r>
        <w:rPr>
          <w:rFonts w:ascii="Arial" w:cs="Arial" w:eastAsia="Arial" w:hAnsi="Arial"/>
          <w:b/>
          <w:bCs/>
          <w:color w:val="374151"/>
          <w:sz w:val="26"/>
          <w:szCs w:val="26"/>
        </w:rPr>
        <w:t xml:space="preserve">5.3 Lo que queda fuera del alcance</w:t>
      </w:r>
    </w:p>
    <w:p>
      <w:pPr>
        <w:pStyle w:val="ListParagraph"/>
        <w:numPr>
          <w:ilvl w:val="0"/>
          <w:numId w:val="2"/>
        </w:numPr>
        <w:spacing w:after="40" w:before="40"/>
      </w:pPr>
      <w:r>
        <w:rPr>
          <w:rFonts w:ascii="Arial" w:cs="Arial" w:eastAsia="Arial" w:hAnsi="Arial"/>
          <w:color w:val="374151"/>
          <w:sz w:val="21"/>
          <w:szCs w:val="21"/>
        </w:rPr>
        <w:t xml:space="preserve">Administración directa de la plataforma tiquetera (es un sistema externo)</w:t>
      </w:r>
    </w:p>
    <w:p>
      <w:pPr>
        <w:pStyle w:val="ListParagraph"/>
        <w:numPr>
          <w:ilvl w:val="0"/>
          <w:numId w:val="2"/>
        </w:numPr>
        <w:spacing w:after="40" w:before="40"/>
      </w:pPr>
      <w:r>
        <w:rPr>
          <w:rFonts w:ascii="Arial" w:cs="Arial" w:eastAsia="Arial" w:hAnsi="Arial"/>
          <w:color w:val="374151"/>
          <w:sz w:val="21"/>
          <w:szCs w:val="21"/>
        </w:rPr>
        <w:t xml:space="preserve">Procesamiento de pagos — lo gestiona la tiquetera elegida</w:t>
      </w:r>
    </w:p>
    <w:p>
      <w:pPr>
        <w:pStyle w:val="ListParagraph"/>
        <w:numPr>
          <w:ilvl w:val="0"/>
          <w:numId w:val="2"/>
        </w:numPr>
        <w:spacing w:after="40" w:before="40"/>
      </w:pPr>
      <w:r>
        <w:rPr>
          <w:rFonts w:ascii="Arial" w:cs="Arial" w:eastAsia="Arial" w:hAnsi="Arial"/>
          <w:color w:val="374151"/>
          <w:sz w:val="21"/>
          <w:szCs w:val="21"/>
        </w:rPr>
        <w:t xml:space="preserve">Envío de entradas a compradores — lo gestiona la tiquetera elegida</w:t>
      </w:r>
    </w:p>
    <w:p>
      <w:pPr>
        <w:pStyle w:val="ListParagraph"/>
        <w:numPr>
          <w:ilvl w:val="0"/>
          <w:numId w:val="2"/>
        </w:numPr>
        <w:spacing w:after="40" w:before="40"/>
      </w:pPr>
      <w:r>
        <w:rPr>
          <w:rFonts w:ascii="Arial" w:cs="Arial" w:eastAsia="Arial" w:hAnsi="Arial"/>
          <w:color w:val="374151"/>
          <w:sz w:val="21"/>
          <w:szCs w:val="21"/>
        </w:rPr>
        <w:t xml:space="preserve">Soporte a compradores finales de tickets</w:t>
      </w:r>
    </w:p>
    <w:p>
      <w:pPr>
        <w:spacing w:after="80" w:before="0"/>
      </w:pPr>
      <w:r>
        <w:t xml:space="preserve"/>
      </w:r>
    </w:p>
    <w:p>
      <w:r>
        <w:br w:type="page"/>
      </w:r>
    </w:p>
    <w:p>
      <w:pPr>
        <w:pBdr>
          <w:bottom w:val="single" w:color="7C3AED" w:sz="8" w:space="4"/>
        </w:pBdr>
        <w:spacing w:after="160" w:before="360"/>
      </w:pPr>
      <w:r>
        <w:rPr>
          <w:rFonts w:ascii="Arial" w:cs="Arial" w:eastAsia="Arial" w:hAnsi="Arial"/>
          <w:b/>
          <w:bCs/>
          <w:color w:val="7C3AED"/>
          <w:sz w:val="36"/>
          <w:szCs w:val="36"/>
        </w:rPr>
        <w:t xml:space="preserve">6. Historial de Pagos del Proyecto</w:t>
      </w:r>
    </w:p>
    <w:p>
      <w:pPr>
        <w:spacing w:after="80" w:before="60"/>
        <w:jc w:val="left"/>
      </w:pPr>
      <w:r>
        <w:rPr>
          <w:rFonts w:ascii="Arial" w:cs="Arial" w:eastAsia="Arial" w:hAnsi="Arial"/>
          <w:b w:val="false"/>
          <w:bCs w:val="false"/>
          <w:i w:val="false"/>
          <w:iCs w:val="false"/>
          <w:color w:val="374151"/>
          <w:sz w:val="21"/>
          <w:szCs w:val="21"/>
        </w:rPr>
        <w:t xml:space="preserve">A continuación se detalla el historial de pagos correspondiente al acompañamiento de desarrollo web del sitio labssummit.com: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600"/>
        <w:gridCol w:w="3660"/>
      </w:tblGrid>
      <w:tr>
        <w:tc>
          <w:tcPr>
            <w:tcW w:type="dxa" w:w="7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center"/>
            </w:pPr>
            <w:r>
              <w:rPr>
                <w:rFonts w:ascii="Arial" w:cs="Arial" w:eastAsia="Arial" w:hAnsi="Arial"/>
                <w:b/>
                <w:bCs/>
                <w:color w:val="7C3AED"/>
                <w:sz w:val="20"/>
                <w:szCs w:val="20"/>
              </w:rPr>
              <w:t xml:space="preserve">#</w:t>
            </w:r>
          </w:p>
        </w:tc>
        <w:tc>
          <w:tcPr>
            <w:tcW w:type="dxa" w:w="24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Fecha</w:t>
            </w:r>
          </w:p>
        </w:tc>
        <w:tc>
          <w:tcPr>
            <w:tcW w:type="dxa" w:w="260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Valor</w:t>
            </w:r>
          </w:p>
        </w:tc>
        <w:tc>
          <w:tcPr>
            <w:tcW w:type="dxa" w:w="3660"/>
            <w:tcBorders>
              <w:top w:val="single" w:color="E5E7EB" w:sz="1"/>
              <w:left w:val="single" w:color="E5E7EB" w:sz="1"/>
              <w:bottom w:val="single" w:color="E5E7EB" w:sz="1"/>
              <w:right w:val="single" w:color="E5E7EB" w:sz="1"/>
            </w:tcBorders>
            <w:shd w:fill="EDE9FE" w:val="clear"/>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Concepto</w:t>
            </w:r>
          </w:p>
        </w:tc>
      </w:tr>
      <w:tr>
        <w:tc>
          <w:tcPr>
            <w:tcW w:type="dxa" w:w="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color w:val="111827"/>
                <w:sz w:val="20"/>
                <w:szCs w:val="20"/>
              </w:rPr>
              <w:t xml:space="preserve">1</w:t>
            </w:r>
          </w:p>
        </w:tc>
        <w:tc>
          <w:tcPr>
            <w:tcW w:type="dxa" w:w="2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07 de abril de 2026</w:t>
            </w:r>
          </w:p>
        </w:tc>
        <w:tc>
          <w:tcPr>
            <w:tcW w:type="dxa" w:w="26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$1.782.500</w:t>
            </w:r>
          </w:p>
        </w:tc>
        <w:tc>
          <w:tcPr>
            <w:tcW w:type="dxa" w:w="36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Primer pago – inicio del proyecto</w:t>
            </w:r>
          </w:p>
        </w:tc>
      </w:tr>
      <w:tr>
        <w:tc>
          <w:tcPr>
            <w:tcW w:type="dxa" w:w="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color w:val="111827"/>
                <w:sz w:val="20"/>
                <w:szCs w:val="20"/>
              </w:rPr>
              <w:t xml:space="preserve">2</w:t>
            </w:r>
          </w:p>
        </w:tc>
        <w:tc>
          <w:tcPr>
            <w:tcW w:type="dxa" w:w="2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07 de mayo de 2026</w:t>
            </w:r>
          </w:p>
        </w:tc>
        <w:tc>
          <w:tcPr>
            <w:tcW w:type="dxa" w:w="26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$345.090</w:t>
            </w:r>
          </w:p>
        </w:tc>
        <w:tc>
          <w:tcPr>
            <w:tcW w:type="dxa" w:w="36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Segundo pago – avance de desarrollo</w:t>
            </w:r>
          </w:p>
        </w:tc>
      </w:tr>
      <w:tr>
        <w:tc>
          <w:tcPr>
            <w:tcW w:type="dxa" w:w="7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center"/>
            </w:pPr>
            <w:r>
              <w:rPr>
                <w:rFonts w:ascii="Arial" w:cs="Arial" w:eastAsia="Arial" w:hAnsi="Arial"/>
                <w:b w:val="false"/>
                <w:bCs w:val="false"/>
                <w:color w:val="111827"/>
                <w:sz w:val="20"/>
                <w:szCs w:val="20"/>
              </w:rPr>
              <w:t xml:space="preserve">3</w:t>
            </w:r>
          </w:p>
        </w:tc>
        <w:tc>
          <w:tcPr>
            <w:tcW w:type="dxa" w:w="24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07 de junio de 2026</w:t>
            </w:r>
          </w:p>
        </w:tc>
        <w:tc>
          <w:tcPr>
            <w:tcW w:type="dxa" w:w="260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$805.210</w:t>
            </w:r>
          </w:p>
        </w:tc>
        <w:tc>
          <w:tcPr>
            <w:tcW w:type="dxa" w:w="3660"/>
            <w:tcBorders>
              <w:top w:val="single" w:color="E5E7EB" w:sz="1"/>
              <w:left w:val="single" w:color="E5E7EB" w:sz="1"/>
              <w:bottom w:val="single" w:color="E5E7EB" w:sz="1"/>
              <w:right w:val="single" w:color="E5E7EB" w:sz="1"/>
            </w:tcBorders>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Tercer pago – entrega final</w:t>
            </w:r>
          </w:p>
        </w:tc>
      </w:tr>
      <w:tr>
        <w:tc>
          <w:tcPr>
            <w:tcW w:type="dxa" w:w="700"/>
            <w:tcBorders>
              <w:top w:val="single" w:color="E5E7EB" w:sz="1"/>
              <w:left w:val="single" w:color="E5E7EB" w:sz="1"/>
              <w:bottom w:val="single" w:color="E5E7EB" w:sz="1"/>
              <w:right w:val="single" w:color="E5E7EB" w:sz="1"/>
            </w:tcBorders>
            <w:shd w:fill="F3EEFF" w:val="clear"/>
            <w:tcMar>
              <w:top w:type="dxa" w:w="100"/>
              <w:left w:type="dxa" w:w="150"/>
              <w:bottom w:type="dxa" w:w="100"/>
              <w:right w:type="dxa" w:w="150"/>
            </w:tcMar>
            <w:vAlign w:val="center"/>
          </w:tcPr>
          <w:p>
            <w:pPr>
              <w:jc w:val="center"/>
            </w:pPr>
            <w:r>
              <w:rPr>
                <w:rFonts w:ascii="Arial" w:cs="Arial" w:eastAsia="Arial" w:hAnsi="Arial"/>
                <w:b/>
                <w:bCs/>
                <w:color w:val="7C3AED"/>
                <w:sz w:val="20"/>
                <w:szCs w:val="20"/>
              </w:rPr>
              <w:t xml:space="preserve">TOTAL</w:t>
            </w:r>
          </w:p>
        </w:tc>
        <w:tc>
          <w:tcPr>
            <w:tcW w:type="dxa" w:w="2400"/>
            <w:tcBorders>
              <w:top w:val="single" w:color="E5E7EB" w:sz="1"/>
              <w:left w:val="single" w:color="E5E7EB" w:sz="1"/>
              <w:bottom w:val="single" w:color="E5E7EB" w:sz="1"/>
              <w:right w:val="single" w:color="E5E7EB" w:sz="1"/>
            </w:tcBorders>
            <w:shd w:fill="F3EEFF" w:val="clear"/>
            <w:tcMar>
              <w:top w:type="dxa" w:w="100"/>
              <w:left w:type="dxa" w:w="150"/>
              <w:bottom w:type="dxa" w:w="100"/>
              <w:right w:type="dxa" w:w="150"/>
            </w:tcMar>
            <w:vAlign w:val="center"/>
          </w:tcPr>
          <w:p>
            <w:pPr>
              <w:jc w:val="left"/>
            </w:pPr>
            <w:r>
              <w:rPr>
                <w:rFonts w:ascii="Arial" w:cs="Arial" w:eastAsia="Arial" w:hAnsi="Arial"/>
                <w:b w:val="false"/>
                <w:bCs w:val="false"/>
                <w:color w:val="111827"/>
                <w:sz w:val="20"/>
                <w:szCs w:val="20"/>
              </w:rPr>
              <w:t xml:space="preserve"/>
            </w:r>
          </w:p>
        </w:tc>
        <w:tc>
          <w:tcPr>
            <w:tcW w:type="dxa" w:w="2600"/>
            <w:tcBorders>
              <w:top w:val="single" w:color="E5E7EB" w:sz="1"/>
              <w:left w:val="single" w:color="E5E7EB" w:sz="1"/>
              <w:bottom w:val="single" w:color="E5E7EB" w:sz="1"/>
              <w:right w:val="single" w:color="E5E7EB" w:sz="1"/>
            </w:tcBorders>
            <w:shd w:fill="F3EEFF" w:val="clear"/>
            <w:tcMar>
              <w:top w:type="dxa" w:w="100"/>
              <w:left w:type="dxa" w:w="150"/>
              <w:bottom w:type="dxa" w:w="100"/>
              <w:right w:type="dxa" w:w="150"/>
            </w:tcMar>
            <w:vAlign w:val="center"/>
          </w:tcPr>
          <w:p>
            <w:pPr>
              <w:jc w:val="left"/>
            </w:pPr>
            <w:r>
              <w:rPr>
                <w:rFonts w:ascii="Arial" w:cs="Arial" w:eastAsia="Arial" w:hAnsi="Arial"/>
                <w:b/>
                <w:bCs/>
                <w:color w:val="7C3AED"/>
                <w:sz w:val="20"/>
                <w:szCs w:val="20"/>
              </w:rPr>
              <w:t xml:space="preserve">$2.932.800</w:t>
            </w:r>
          </w:p>
        </w:tc>
        <w:tc>
          <w:tcPr>
            <w:tcW w:type="dxa" w:w="3660"/>
            <w:tcBorders>
              <w:top w:val="single" w:color="E5E7EB" w:sz="1"/>
              <w:left w:val="single" w:color="E5E7EB" w:sz="1"/>
              <w:bottom w:val="single" w:color="E5E7EB" w:sz="1"/>
              <w:right w:val="single" w:color="E5E7EB" w:sz="1"/>
            </w:tcBorders>
            <w:shd w:fill="F3EEFF" w:val="clear"/>
            <w:tcMar>
              <w:top w:type="dxa" w:w="100"/>
              <w:left w:type="dxa" w:w="150"/>
              <w:bottom w:type="dxa" w:w="100"/>
              <w:right w:type="dxa" w:w="150"/>
            </w:tcMar>
            <w:vAlign w:val="center"/>
          </w:tcPr>
          <w:p>
            <w:pPr>
              <w:jc w:val="left"/>
            </w:pPr>
            <w:r>
              <w:rPr>
                <w:rFonts w:ascii="Arial" w:cs="Arial" w:eastAsia="Arial" w:hAnsi="Arial"/>
                <w:b/>
                <w:bCs/>
                <w:color w:val="111827"/>
                <w:sz w:val="20"/>
                <w:szCs w:val="20"/>
              </w:rPr>
              <w:t xml:space="preserve">Tres (3) cuotas completadas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EFF" w:val="clear"/>
            <w:tcMar>
              <w:top w:type="dxa" w:w="120"/>
              <w:left w:type="dxa" w:w="200"/>
              <w:bottom w:type="dxa" w:w="120"/>
              <w:right w:type="dxa" w:w="200"/>
            </w:tcMar>
          </w:tcPr>
          <w:p>
            <w:pPr>
              <w:jc w:val="left"/>
            </w:pPr>
            <w:r>
              <w:rPr>
                <w:rFonts w:ascii="Arial" w:cs="Arial" w:eastAsia="Arial" w:hAnsi="Arial"/>
                <w:b w:val="false"/>
                <w:bCs w:val="false"/>
                <w:color w:val="7C3AED"/>
                <w:sz w:val="21"/>
                <w:szCs w:val="21"/>
              </w:rPr>
              <w:t xml:space="preserve">VALOR TOTAL DEL PROYECTO: $3.000.000 COP  |  Pagado: $2.932.800 COP  |  La integración con tiquetera está incluida dentro del valor ya pactado.</w:t>
            </w:r>
          </w:p>
        </w:tc>
      </w:tr>
    </w:tbl>
    <w:p>
      <w:pPr>
        <w:spacing w:after="80" w:before="0"/>
      </w:pPr>
      <w:r>
        <w:t xml:space="preserve"/>
      </w:r>
    </w:p>
    <w:p>
      <w:pPr>
        <w:spacing w:after="80" w:before="0"/>
      </w:pPr>
      <w:r>
        <w:t xml:space="preserve"/>
      </w:r>
    </w:p>
    <w:p>
      <w:r>
        <w:br w:type="page"/>
      </w:r>
    </w:p>
    <w:p>
      <w:pPr>
        <w:pBdr>
          <w:bottom w:val="single" w:color="7C3AED" w:sz="8" w:space="4"/>
        </w:pBdr>
        <w:spacing w:after="160" w:before="360"/>
      </w:pPr>
      <w:r>
        <w:rPr>
          <w:rFonts w:ascii="Arial" w:cs="Arial" w:eastAsia="Arial" w:hAnsi="Arial"/>
          <w:b/>
          <w:bCs/>
          <w:color w:val="7C3AED"/>
          <w:sz w:val="36"/>
          <w:szCs w:val="36"/>
        </w:rPr>
        <w:t xml:space="preserve">7. Conclusión y Próximos Pasos</w:t>
      </w:r>
    </w:p>
    <w:p>
      <w:pPr>
        <w:spacing w:after="80" w:before="60"/>
        <w:jc w:val="left"/>
      </w:pPr>
      <w:r>
        <w:rPr>
          <w:rFonts w:ascii="Arial" w:cs="Arial" w:eastAsia="Arial" w:hAnsi="Arial"/>
          <w:b w:val="false"/>
          <w:bCs w:val="false"/>
          <w:i w:val="false"/>
          <w:iCs w:val="false"/>
          <w:color w:val="374151"/>
          <w:sz w:val="21"/>
          <w:szCs w:val="21"/>
        </w:rPr>
        <w:t xml:space="preserve">El sitio web labssummit.com está completamente desarrollado, desplegado en producción y funcional en todos sus aspectos. Se han cumplido la totalidad de los entregables técnicos acordados: identidad visual, speakers, tickets, programa, legal, patrocinadores y optimizaciones técnicas.</w:t>
      </w:r>
    </w:p>
    <w:p>
      <w:pPr>
        <w:spacing w:after="80" w:before="0"/>
      </w:pPr>
      <w:r>
        <w:t xml:space="preserve"/>
      </w:r>
    </w:p>
    <w:p>
      <w:pPr>
        <w:spacing w:after="80" w:before="60"/>
        <w:jc w:val="left"/>
      </w:pPr>
      <w:r>
        <w:rPr>
          <w:rFonts w:ascii="Arial" w:cs="Arial" w:eastAsia="Arial" w:hAnsi="Arial"/>
          <w:b w:val="false"/>
          <w:bCs w:val="false"/>
          <w:i w:val="false"/>
          <w:iCs w:val="false"/>
          <w:color w:val="374151"/>
          <w:sz w:val="21"/>
          <w:szCs w:val="21"/>
        </w:rPr>
        <w:t xml:space="preserve">El único ítem que permanece pendiente dentro del acompañamiento es la integración con la plataforma tiquetera externa, cuya ejecución depende de la provisión de la información de dicha plataforma por parte del organizador.</w:t>
      </w:r>
    </w:p>
    <w:p>
      <w:pPr>
        <w:spacing w:after="80" w:before="0"/>
      </w:pPr>
      <w:r>
        <w:t xml:space="preserve"/>
      </w:r>
    </w:p>
    <w:p>
      <w:pPr>
        <w:spacing w:after="120" w:before="260"/>
      </w:pPr>
      <w:r>
        <w:rPr>
          <w:rFonts w:ascii="Arial" w:cs="Arial" w:eastAsia="Arial" w:hAnsi="Arial"/>
          <w:b/>
          <w:bCs/>
          <w:color w:val="374151"/>
          <w:sz w:val="26"/>
          <w:szCs w:val="26"/>
        </w:rPr>
        <w:t xml:space="preserve">Próximos pasos inmediatos</w:t>
      </w:r>
    </w:p>
    <w:p>
      <w:pPr>
        <w:pStyle w:val="ListParagraph"/>
        <w:numPr>
          <w:ilvl w:val="0"/>
          <w:numId w:val="2"/>
        </w:numPr>
        <w:spacing w:after="40" w:before="40"/>
      </w:pPr>
      <w:r>
        <w:rPr>
          <w:rFonts w:ascii="Arial" w:cs="Arial" w:eastAsia="Arial" w:hAnsi="Arial"/>
          <w:color w:val="374151"/>
          <w:sz w:val="21"/>
          <w:szCs w:val="21"/>
        </w:rPr>
        <w:t xml:space="preserve">Confirmar la plataforma tiquetera elegida y compartir el enlace o credenciales de integración</w:t>
      </w:r>
    </w:p>
    <w:p>
      <w:pPr>
        <w:pStyle w:val="ListParagraph"/>
        <w:numPr>
          <w:ilvl w:val="0"/>
          <w:numId w:val="2"/>
        </w:numPr>
        <w:spacing w:after="40" w:before="40"/>
      </w:pPr>
      <w:r>
        <w:rPr>
          <w:rFonts w:ascii="Arial" w:cs="Arial" w:eastAsia="Arial" w:hAnsi="Arial"/>
          <w:color w:val="374151"/>
          <w:sz w:val="21"/>
          <w:szCs w:val="21"/>
        </w:rPr>
        <w:t xml:space="preserve">Activar campañas de Meta Ads aprovechando el Pixel ya instalado en el sitio</w:t>
      </w:r>
    </w:p>
    <w:p>
      <w:pPr>
        <w:pStyle w:val="ListParagraph"/>
        <w:numPr>
          <w:ilvl w:val="0"/>
          <w:numId w:val="2"/>
        </w:numPr>
        <w:spacing w:after="40" w:before="40"/>
      </w:pPr>
      <w:r>
        <w:rPr>
          <w:rFonts w:ascii="Arial" w:cs="Arial" w:eastAsia="Arial" w:hAnsi="Arial"/>
          <w:color w:val="374151"/>
          <w:sz w:val="21"/>
          <w:szCs w:val="21"/>
        </w:rPr>
        <w:t xml:space="preserve">Revelar speakers pendientes (mystery cards) a medida que se confirmen</w:t>
      </w:r>
    </w:p>
    <w:p>
      <w:pPr>
        <w:pStyle w:val="ListParagraph"/>
        <w:numPr>
          <w:ilvl w:val="0"/>
          <w:numId w:val="2"/>
        </w:numPr>
        <w:spacing w:after="40" w:before="40"/>
      </w:pPr>
      <w:r>
        <w:rPr>
          <w:rFonts w:ascii="Arial" w:cs="Arial" w:eastAsia="Arial" w:hAnsi="Arial"/>
          <w:color w:val="374151"/>
          <w:sz w:val="21"/>
          <w:szCs w:val="21"/>
        </w:rPr>
        <w:t xml:space="preserve">Publicar agenda detallada de Días 2 y 3 según avance la programación</w:t>
      </w:r>
    </w:p>
    <w:p>
      <w:pPr>
        <w:spacing w:after="80" w:before="0"/>
      </w:pPr>
      <w:r>
        <w:t xml:space="preserve"/>
      </w:r>
    </w:p>
    <w:p>
      <w:pPr>
        <w:spacing w:after="80" w:before="0"/>
      </w:pPr>
      <w:r>
        <w:t xml:space="preserve"/>
      </w:r>
    </w:p>
    <w:p>
      <w:pPr>
        <w:pBdr>
          <w:top w:val="single" w:color="7C3AED" w:sz="8" w:space="8"/>
        </w:pBdr>
        <w:spacing w:after="80" w:before="240"/>
        <w:jc w:val="center"/>
      </w:pPr>
      <w:r>
        <w:rPr>
          <w:rFonts w:ascii="Arial" w:cs="Arial" w:eastAsia="Arial" w:hAnsi="Arial"/>
          <w:b/>
          <w:bCs/>
          <w:color w:val="7C3AED"/>
          <w:sz w:val="20"/>
          <w:szCs w:val="20"/>
        </w:rPr>
        <w:t xml:space="preserve">Tuluá Labs Summit 2026 · labssummit.com</w:t>
      </w:r>
    </w:p>
    <w:p>
      <w:pPr>
        <w:jc w:val="center"/>
      </w:pPr>
      <w:r>
        <w:rPr>
          <w:rFonts w:ascii="Arial" w:cs="Arial" w:eastAsia="Arial" w:hAnsi="Arial"/>
          <w:i/>
          <w:iCs/>
          <w:color w:val="6B7280"/>
          <w:sz w:val="18"/>
          <w:szCs w:val="18"/>
        </w:rPr>
        <w:t xml:space="preserve">Sep 11–13, 2026 · Coliseo de Ferias, Tuluá, Valle del Cauca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center"/>
    </w:pPr>
    <w:r>
      <w:rPr>
        <w:rFonts w:ascii="Arial" w:cs="Arial" w:eastAsia="Arial" w:hAnsi="Arial"/>
        <w:color w:val="6B7280"/>
        <w:sz w:val="16"/>
        <w:szCs w:val="16"/>
      </w:rPr>
      <w:t xml:space="preserve">Confidencial · labssummit.com · Tuluá, Valle del Cauca · Sep 11–13, 2026    Pág.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C3AED" w:sz="4" w:space="4"/>
      </w:pBdr>
      <w:jc w:val="right"/>
    </w:pPr>
    <w:r>
      <w:rPr>
        <w:rFonts w:ascii="Arial" w:cs="Arial" w:eastAsia="Arial" w:hAnsi="Arial"/>
        <w:color w:val="6B7280"/>
        <w:sz w:val="18"/>
        <w:szCs w:val="18"/>
      </w:rPr>
      <w:t xml:space="preserve">TULUÁ LABS SUMMIT 2026  |  Documento de Acompañamiento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A855F7"/>
      </w:r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2026-06-11T18:06:49.383Z</dcterms:created>
  <dcterms:modified xsi:type="dcterms:W3CDTF">2026-06-11T18:06:49.383Z</dcterms:modified>
</cp:coreProperties>
</file>

<file path=docProps/custom.xml><?xml version="1.0" encoding="utf-8"?>
<Properties xmlns="http://schemas.openxmlformats.org/officeDocument/2006/custom-properties" xmlns:vt="http://schemas.openxmlformats.org/officeDocument/2006/docPropsVTypes"/>
</file>