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A855F7"/>
          <w:sz w:val="20"/>
        </w:rPr>
        <w:t>TULUÁ LABS SUMMIT 2026</w:t>
      </w:r>
    </w:p>
    <w:p>
      <w:pPr>
        <w:spacing w:before="0" w:after="80"/>
      </w:pPr>
      <w:r>
        <w:rPr>
          <w:rFonts w:ascii="Arial" w:hAnsi="Arial"/>
          <w:b/>
          <w:color w:val="1E1B4B"/>
          <w:sz w:val="56"/>
        </w:rPr>
        <w:t>Informe de Cambios</w:t>
        <w:br/>
        <w:t>y Mejoras</w:t>
      </w:r>
    </w:p>
    <w:p>
      <w:pPr>
        <w:spacing w:before="0" w:after="300"/>
      </w:pPr>
      <w:r>
        <w:rPr>
          <w:rFonts w:ascii="Arial" w:hAnsi="Arial"/>
          <w:i/>
          <w:color w:val="6B7280"/>
          <w:sz w:val="24"/>
        </w:rPr>
        <w:t>Sitio web oficial — labssummit.com</w:t>
      </w:r>
    </w:p>
    <w:tbl>
      <w:tblPr>
        <w:tblStyle w:val="TableGrid"/>
        <w:tblW w:type="auto" w:w="0"/>
        <w:tblLook w:firstColumn="1" w:firstRow="1" w:lastColumn="0" w:lastRow="0" w:noHBand="0" w:noVBand="1" w:val="04A0"/>
      </w:tblPr>
      <w:tblGrid>
        <w:gridCol w:w="4536"/>
        <w:gridCol w:w="4536"/>
      </w:tblGrid>
      <w:tr>
        <w:tc>
          <w:tcPr>
            <w:tcW w:type="dxa" w:w="2880"/>
            <w:shd w:val="clear" w:color="auto" w:fill="EDE9FE"/>
            <w:vAlign w:val="center"/>
          </w:tcPr>
          <w:p>
            <w:pPr>
              <w:spacing w:before="60" w:after="60"/>
            </w:pPr>
            <w:r>
              <w:rPr>
                <w:rFonts w:ascii="Arial" w:hAnsi="Arial"/>
                <w:b/>
                <w:color w:val="7C3AED"/>
                <w:sz w:val="20"/>
              </w:rPr>
              <w:t>Proyecto</w:t>
            </w:r>
          </w:p>
        </w:tc>
        <w:tc>
          <w:tcPr>
            <w:tcW w:type="dxa" w:w="6192"/>
            <w:shd w:val="clear" w:color="auto" w:fill="FFFFFF"/>
            <w:vAlign w:val="center"/>
          </w:tcPr>
          <w:p>
            <w:pPr>
              <w:spacing w:before="60" w:after="60"/>
            </w:pPr>
            <w:r>
              <w:rPr>
                <w:rFonts w:ascii="Arial" w:hAnsi="Arial"/>
                <w:color w:val="111827"/>
                <w:sz w:val="20"/>
              </w:rPr>
              <w:t>Tuluá Labs Summit 2026</w:t>
            </w:r>
          </w:p>
        </w:tc>
      </w:tr>
      <w:tr>
        <w:tc>
          <w:tcPr>
            <w:tcW w:type="dxa" w:w="2880"/>
            <w:shd w:val="clear" w:color="auto" w:fill="F3F0FF"/>
            <w:vAlign w:val="center"/>
          </w:tcPr>
          <w:p>
            <w:pPr>
              <w:spacing w:before="60" w:after="60"/>
            </w:pPr>
            <w:r>
              <w:rPr>
                <w:rFonts w:ascii="Arial" w:hAnsi="Arial"/>
                <w:b/>
                <w:color w:val="7C3AED"/>
                <w:sz w:val="20"/>
              </w:rPr>
              <w:t>URL</w:t>
            </w:r>
          </w:p>
        </w:tc>
        <w:tc>
          <w:tcPr>
            <w:tcW w:type="dxa" w:w="6192"/>
            <w:shd w:val="clear" w:color="auto" w:fill="FAF8FF"/>
            <w:vAlign w:val="center"/>
          </w:tcPr>
          <w:p>
            <w:pPr>
              <w:spacing w:before="60" w:after="60"/>
            </w:pPr>
            <w:r>
              <w:rPr>
                <w:rFonts w:ascii="Arial" w:hAnsi="Arial"/>
                <w:color w:val="111827"/>
                <w:sz w:val="20"/>
              </w:rPr>
              <w:t>labssummit.com</w:t>
            </w:r>
          </w:p>
        </w:tc>
      </w:tr>
      <w:tr>
        <w:tc>
          <w:tcPr>
            <w:tcW w:type="dxa" w:w="2880"/>
            <w:shd w:val="clear" w:color="auto" w:fill="EDE9FE"/>
            <w:vAlign w:val="center"/>
          </w:tcPr>
          <w:p>
            <w:pPr>
              <w:spacing w:before="60" w:after="60"/>
            </w:pPr>
            <w:r>
              <w:rPr>
                <w:rFonts w:ascii="Arial" w:hAnsi="Arial"/>
                <w:b/>
                <w:color w:val="7C3AED"/>
                <w:sz w:val="20"/>
              </w:rPr>
              <w:t>Período</w:t>
            </w:r>
          </w:p>
        </w:tc>
        <w:tc>
          <w:tcPr>
            <w:tcW w:type="dxa" w:w="6192"/>
            <w:shd w:val="clear" w:color="auto" w:fill="FFFFFF"/>
            <w:vAlign w:val="center"/>
          </w:tcPr>
          <w:p>
            <w:pPr>
              <w:spacing w:before="60" w:after="60"/>
            </w:pPr>
            <w:r>
              <w:rPr>
                <w:rFonts w:ascii="Arial" w:hAnsi="Arial"/>
                <w:color w:val="111827"/>
                <w:sz w:val="20"/>
              </w:rPr>
              <w:t>Mayo – Junio 2026</w:t>
            </w:r>
          </w:p>
        </w:tc>
      </w:tr>
      <w:tr>
        <w:tc>
          <w:tcPr>
            <w:tcW w:type="dxa" w:w="2880"/>
            <w:shd w:val="clear" w:color="auto" w:fill="F3F0FF"/>
            <w:vAlign w:val="center"/>
          </w:tcPr>
          <w:p>
            <w:pPr>
              <w:spacing w:before="60" w:after="60"/>
            </w:pPr>
            <w:r>
              <w:rPr>
                <w:rFonts w:ascii="Arial" w:hAnsi="Arial"/>
                <w:b/>
                <w:color w:val="7C3AED"/>
                <w:sz w:val="20"/>
              </w:rPr>
              <w:t>Responsable</w:t>
            </w:r>
          </w:p>
        </w:tc>
        <w:tc>
          <w:tcPr>
            <w:tcW w:type="dxa" w:w="6192"/>
            <w:shd w:val="clear" w:color="auto" w:fill="FAF8FF"/>
            <w:vAlign w:val="center"/>
          </w:tcPr>
          <w:p>
            <w:pPr>
              <w:spacing w:before="60" w:after="60"/>
            </w:pPr>
            <w:r>
              <w:rPr>
                <w:rFonts w:ascii="Arial" w:hAnsi="Arial"/>
                <w:color w:val="111827"/>
                <w:sz w:val="20"/>
              </w:rPr>
              <w:t>Equipo de Desarrollo Web</w:t>
            </w:r>
          </w:p>
        </w:tc>
      </w:tr>
      <w:tr>
        <w:tc>
          <w:tcPr>
            <w:tcW w:type="dxa" w:w="2880"/>
            <w:shd w:val="clear" w:color="auto" w:fill="EDE9FE"/>
            <w:vAlign w:val="center"/>
          </w:tcPr>
          <w:p>
            <w:pPr>
              <w:spacing w:before="60" w:after="60"/>
            </w:pPr>
            <w:r>
              <w:rPr>
                <w:rFonts w:ascii="Arial" w:hAnsi="Arial"/>
                <w:b/>
                <w:color w:val="7C3AED"/>
                <w:sz w:val="20"/>
              </w:rPr>
              <w:t>Total commits</w:t>
            </w:r>
          </w:p>
        </w:tc>
        <w:tc>
          <w:tcPr>
            <w:tcW w:type="dxa" w:w="6192"/>
            <w:shd w:val="clear" w:color="auto" w:fill="FFFFFF"/>
            <w:vAlign w:val="center"/>
          </w:tcPr>
          <w:p>
            <w:pPr>
              <w:spacing w:before="60" w:after="60"/>
            </w:pPr>
            <w:r>
              <w:rPr>
                <w:rFonts w:ascii="Arial" w:hAnsi="Arial"/>
                <w:color w:val="111827"/>
                <w:sz w:val="20"/>
              </w:rPr>
              <w:t>40+ cambios registrados en Git</w:t>
            </w:r>
          </w:p>
        </w:tc>
      </w:tr>
      <w:tr>
        <w:tc>
          <w:tcPr>
            <w:tcW w:type="dxa" w:w="2880"/>
            <w:shd w:val="clear" w:color="auto" w:fill="F3F0FF"/>
            <w:vAlign w:val="center"/>
          </w:tcPr>
          <w:p>
            <w:pPr>
              <w:spacing w:before="60" w:after="60"/>
            </w:pPr>
            <w:r>
              <w:rPr>
                <w:rFonts w:ascii="Arial" w:hAnsi="Arial"/>
                <w:b/>
                <w:color w:val="7C3AED"/>
                <w:sz w:val="20"/>
              </w:rPr>
              <w:t>Estado</w:t>
            </w:r>
          </w:p>
        </w:tc>
        <w:tc>
          <w:tcPr>
            <w:tcW w:type="dxa" w:w="6192"/>
            <w:shd w:val="clear" w:color="auto" w:fill="FAF8FF"/>
            <w:vAlign w:val="center"/>
          </w:tcPr>
          <w:p>
            <w:pPr>
              <w:spacing w:before="60" w:after="60"/>
            </w:pPr>
            <w:r>
              <w:rPr>
                <w:rFonts w:ascii="Arial" w:hAnsi="Arial"/>
                <w:color w:val="111827"/>
                <w:sz w:val="20"/>
              </w:rPr>
              <w:t>En producción (rama main)</w:t>
            </w:r>
          </w:p>
        </w:tc>
      </w:tr>
    </w:tbl>
    <w:p>
      <w:r>
        <w:br w:type="page"/>
      </w:r>
    </w:p>
    <w:p>
      <w:pPr>
        <w:jc w:val="left"/>
        <w:spacing w:before="360" w:after="120"/>
        <w:pBdr>
          <w:bottom w:val="single" w:sz="8" w:space="4" w:color="A855F7"/>
        </w:pBdr>
      </w:pPr>
      <w:r>
        <w:rPr>
          <w:rFonts w:ascii="Arial" w:hAnsi="Arial"/>
          <w:b/>
          <w:color w:val="1E1B4B"/>
          <w:sz w:val="36"/>
        </w:rPr>
        <w:t>1. Resumen Ejecutivo</w:t>
      </w:r>
    </w:p>
    <w:p>
      <w:pPr>
        <w:jc w:val="both"/>
        <w:spacing w:before="0" w:after="100"/>
      </w:pPr>
      <w:r>
        <w:rPr>
          <w:rFonts w:ascii="Arial" w:hAnsi="Arial"/>
          <w:color w:val="111827"/>
          <w:sz w:val="22"/>
        </w:rPr>
        <w:t>El presente informe documenta el conjunto de cambios, mejoras y correcciones realizadas sobre el sitio web oficial del evento Tuluá Labs Summit 2026, alojado en labssummit.com. El trabajo abarcó desde la construcción inicial de la plataforma hasta su refinamiento progresivo, con más de 40 commits registrados en el repositorio de control de versiones.</w:t>
      </w:r>
    </w:p>
    <w:p>
      <w:pPr>
        <w:jc w:val="both"/>
        <w:spacing w:before="0" w:after="100"/>
      </w:pPr>
      <w:r>
        <w:rPr>
          <w:rFonts w:ascii="Arial" w:hAnsi="Arial"/>
          <w:color w:val="111827"/>
          <w:sz w:val="22"/>
        </w:rPr>
        <w:t>El sitio cumple una función crítica para el evento: es el canal principal de venta de entradas, presentación de speakers, comunicación del programa y captación de patrocinadores. Cada mejora realizada tuvo como objetivo incrementar la conversión, fortalecer la credibilidad del evento y garantizar una experiencia óptima para el usuario, tanto en escritorio como en dispositivos móviles.</w:t>
      </w:r>
    </w:p>
    <w:p>
      <w:pPr>
        <w:jc w:val="both"/>
        <w:spacing w:before="0" w:after="100"/>
      </w:pPr>
      <w:r>
        <w:rPr>
          <w:rFonts w:ascii="Arial" w:hAnsi="Arial"/>
          <w:color w:val="111827"/>
          <w:sz w:val="22"/>
        </w:rPr>
        <w:t>Las intervenciones se agrupan en seis grandes áreas: (1) Sección de Speakers, (2) Sistema de Tickets y Experiencia, (3) Programa del Evento, (4) Mejoras Técnicas y de Rendimiento, (5) Contenido Legal, y (6) Sistema de Patrocinadores.</w:t>
      </w:r>
    </w:p>
    <w:p>
      <w:pPr>
        <w:jc w:val="left"/>
        <w:spacing w:before="360" w:after="120"/>
        <w:pBdr>
          <w:bottom w:val="single" w:sz="8" w:space="4" w:color="A855F7"/>
        </w:pBdr>
      </w:pPr>
      <w:r>
        <w:rPr>
          <w:rFonts w:ascii="Arial" w:hAnsi="Arial"/>
          <w:b/>
          <w:color w:val="1E1B4B"/>
          <w:sz w:val="36"/>
        </w:rPr>
        <w:t>2. Contexto del Proyecto</w:t>
      </w:r>
    </w:p>
    <w:p>
      <w:pPr>
        <w:jc w:val="both"/>
        <w:spacing w:before="0" w:after="100"/>
      </w:pPr>
      <w:r>
        <w:rPr>
          <w:rFonts w:ascii="Arial" w:hAnsi="Arial"/>
          <w:color w:val="111827"/>
          <w:sz w:val="22"/>
        </w:rPr>
        <w:t>Tuluá Labs Summit es el evento de tecnología, negocios digitales e inteligencia artificial más relevante del Valle del Cauca, con sede en el Coliseo de Ferias de Tuluá. La edición 2026 se realizará del 11 al 13 de septiembre, con tres jornadas diferenciadas: una Noche de Gala inaugural, un día completo de conferencias y, de forma exclusiva para los asistentes Diamante Black, una sesión de Mastermind de alto nivel.</w:t>
      </w:r>
    </w:p>
    <w:p>
      <w:pPr>
        <w:jc w:val="both"/>
        <w:spacing w:before="0" w:after="100"/>
      </w:pPr>
      <w:r>
        <w:rPr>
          <w:rFonts w:ascii="Arial" w:hAnsi="Arial"/>
          <w:color w:val="111827"/>
          <w:sz w:val="22"/>
        </w:rPr>
        <w:t>El sitio web fue construido como una Single Page Application en HTML, CSS y JavaScript puro, sin dependencias de frameworks complejos, lo que facilita la velocidad de carga y el despliegue directo a través de GitHub Pages. El repositorio principal es labs-summit-2026 bajo la organización SoulNome.</w:t>
      </w:r>
    </w:p>
    <w:p>
      <w:pPr>
        <w:jc w:val="both"/>
        <w:spacing w:before="0" w:after="100"/>
      </w:pPr>
      <w:r>
        <w:rPr>
          <w:rFonts w:ascii="Arial" w:hAnsi="Arial"/>
          <w:color w:val="111827"/>
          <w:sz w:val="22"/>
        </w:rPr>
        <w:t>Desde su versión inicial, el sitio ha evolucionado de manera iterativa, incorporando retroalimentación continua y nuevos requerimientos a medida que el evento ganaba forma. Este documento recoge el estado de todas esas iteraciones hasta la fecha.</w:t>
      </w:r>
    </w:p>
    <w:p>
      <w:pPr>
        <w:jc w:val="left"/>
        <w:spacing w:before="360" w:after="120"/>
        <w:pBdr>
          <w:bottom w:val="single" w:sz="8" w:space="4" w:color="A855F7"/>
        </w:pBdr>
      </w:pPr>
      <w:r>
        <w:rPr>
          <w:rFonts w:ascii="Arial" w:hAnsi="Arial"/>
          <w:b/>
          <w:color w:val="1E1B4B"/>
          <w:sz w:val="36"/>
        </w:rPr>
        <w:t>3. Cambios Realizados en Detalle</w:t>
      </w:r>
    </w:p>
    <w:p>
      <w:pPr>
        <w:jc w:val="left"/>
        <w:spacing w:before="240" w:after="80"/>
      </w:pPr>
      <w:r>
        <w:rPr>
          <w:rFonts w:ascii="Arial" w:hAnsi="Arial"/>
          <w:b/>
          <w:color w:val="7C3AED"/>
          <w:sz w:val="28"/>
        </w:rPr>
        <w:t>3.1  Sección de Speakers</w:t>
      </w:r>
    </w:p>
    <w:p>
      <w:pPr>
        <w:jc w:val="both"/>
        <w:spacing w:before="0" w:after="100"/>
      </w:pPr>
      <w:r>
        <w:rPr>
          <w:rFonts w:ascii="Arial" w:hAnsi="Arial"/>
          <w:color w:val="111827"/>
          <w:sz w:val="22"/>
        </w:rPr>
        <w:t>La sección de ponentes es uno de los elementos de mayor peso para la conversión en un evento de esta naturaleza. Un lineup sólido y bien presentado genera confianza, posiciona el evento y justifica el precio de las entradas. Por esta razón, se dedicó un esfuerzo considerable a construir una sección de speakers visualmente impactante y funcionalmente robusta.</w:t>
      </w:r>
    </w:p>
    <w:p>
      <w:pPr>
        <w:spacing w:before="180" w:after="60"/>
      </w:pPr>
      <w:r>
        <w:rPr>
          <w:rFonts w:ascii="Arial" w:hAnsi="Arial"/>
          <w:b/>
          <w:color w:val="1E1B4B"/>
          <w:sz w:val="24"/>
        </w:rPr>
        <w:t>Speakers confirmados e integrados</w:t>
      </w:r>
    </w:p>
    <w:p>
      <w:pPr>
        <w:jc w:val="both"/>
        <w:spacing w:before="0" w:after="100"/>
      </w:pPr>
      <w:r>
        <w:rPr>
          <w:rFonts w:ascii="Arial" w:hAnsi="Arial"/>
          <w:color w:val="111827"/>
          <w:sz w:val="22"/>
        </w:rPr>
        <w:t>Se incorporaron un total de once ponentes confirmados, cada uno con tarjeta individual que incluye fotografía profesional, nombre, área de especialización y una breve biografía:</w:t>
      </w:r>
    </w:p>
    <w:p>
      <w:pPr>
        <w:pStyle w:val="ListBullet"/>
        <w:spacing w:before="40" w:after="40"/>
      </w:pPr>
      <w:r>
        <w:rPr>
          <w:rFonts w:ascii="Arial" w:hAnsi="Arial"/>
          <w:b/>
          <w:color w:val="7C3AED"/>
          <w:sz w:val="22"/>
        </w:rPr>
        <w:t xml:space="preserve">Juan David Carmona — </w:t>
      </w:r>
      <w:r>
        <w:rPr>
          <w:rFonts w:ascii="Arial" w:hAnsi="Arial"/>
          <w:color w:val="111827"/>
          <w:sz w:val="22"/>
        </w:rPr>
        <w:t>eCommerce</w:t>
      </w:r>
    </w:p>
    <w:p>
      <w:pPr>
        <w:pStyle w:val="ListBullet"/>
        <w:spacing w:before="40" w:after="40"/>
      </w:pPr>
      <w:r>
        <w:rPr>
          <w:rFonts w:ascii="Arial" w:hAnsi="Arial"/>
          <w:b/>
          <w:color w:val="7C3AED"/>
          <w:sz w:val="22"/>
        </w:rPr>
        <w:t xml:space="preserve">Sara Montoya — </w:t>
      </w:r>
      <w:r>
        <w:rPr>
          <w:rFonts w:ascii="Arial" w:hAnsi="Arial"/>
          <w:color w:val="111827"/>
          <w:sz w:val="22"/>
        </w:rPr>
        <w:t>Negocios Digitales</w:t>
      </w:r>
    </w:p>
    <w:p>
      <w:pPr>
        <w:pStyle w:val="ListBullet"/>
        <w:spacing w:before="40" w:after="40"/>
      </w:pPr>
      <w:r>
        <w:rPr>
          <w:rFonts w:ascii="Arial" w:hAnsi="Arial"/>
          <w:b/>
          <w:color w:val="7C3AED"/>
          <w:sz w:val="22"/>
        </w:rPr>
        <w:t xml:space="preserve">Jose Aguirre — </w:t>
      </w:r>
      <w:r>
        <w:rPr>
          <w:rFonts w:ascii="Arial" w:hAnsi="Arial"/>
          <w:color w:val="111827"/>
          <w:sz w:val="22"/>
        </w:rPr>
        <w:t>Tech &amp; Startups</w:t>
      </w:r>
    </w:p>
    <w:p>
      <w:pPr>
        <w:pStyle w:val="ListBullet"/>
        <w:spacing w:before="40" w:after="40"/>
      </w:pPr>
      <w:r>
        <w:rPr>
          <w:rFonts w:ascii="Arial" w:hAnsi="Arial"/>
          <w:b/>
          <w:color w:val="7C3AED"/>
          <w:sz w:val="22"/>
        </w:rPr>
        <w:t xml:space="preserve">Laura Aguirre — </w:t>
      </w:r>
      <w:r>
        <w:rPr>
          <w:rFonts w:ascii="Arial" w:hAnsi="Arial"/>
          <w:color w:val="111827"/>
          <w:sz w:val="22"/>
        </w:rPr>
        <w:t>Innovación</w:t>
      </w:r>
    </w:p>
    <w:p>
      <w:pPr>
        <w:pStyle w:val="ListBullet"/>
        <w:spacing w:before="40" w:after="40"/>
      </w:pPr>
      <w:r>
        <w:rPr>
          <w:rFonts w:ascii="Arial" w:hAnsi="Arial"/>
          <w:b/>
          <w:color w:val="7C3AED"/>
          <w:sz w:val="22"/>
        </w:rPr>
        <w:t xml:space="preserve">Juan Camilo Silva — </w:t>
      </w:r>
      <w:r>
        <w:rPr>
          <w:rFonts w:ascii="Arial" w:hAnsi="Arial"/>
          <w:color w:val="111827"/>
          <w:sz w:val="22"/>
        </w:rPr>
        <w:t>IA &amp; Estrategia</w:t>
      </w:r>
    </w:p>
    <w:p>
      <w:pPr>
        <w:pStyle w:val="ListBullet"/>
        <w:spacing w:before="40" w:after="40"/>
      </w:pPr>
      <w:r>
        <w:rPr>
          <w:rFonts w:ascii="Arial" w:hAnsi="Arial"/>
          <w:b/>
          <w:color w:val="7C3AED"/>
          <w:sz w:val="22"/>
        </w:rPr>
        <w:t xml:space="preserve">Camila Rodríguez — </w:t>
      </w:r>
      <w:r>
        <w:rPr>
          <w:rFonts w:ascii="Arial" w:hAnsi="Arial"/>
          <w:color w:val="111827"/>
          <w:sz w:val="22"/>
        </w:rPr>
        <w:t>Marketing Digital</w:t>
      </w:r>
    </w:p>
    <w:p>
      <w:pPr>
        <w:pStyle w:val="ListBullet"/>
        <w:spacing w:before="40" w:after="40"/>
      </w:pPr>
      <w:r>
        <w:rPr>
          <w:rFonts w:ascii="Arial" w:hAnsi="Arial"/>
          <w:b/>
          <w:color w:val="7C3AED"/>
          <w:sz w:val="22"/>
        </w:rPr>
        <w:t xml:space="preserve">Miguel Buitrago — </w:t>
      </w:r>
      <w:r>
        <w:rPr>
          <w:rFonts w:ascii="Arial" w:hAnsi="Arial"/>
          <w:color w:val="111827"/>
          <w:sz w:val="22"/>
        </w:rPr>
        <w:t>Desarrollo Web</w:t>
      </w:r>
    </w:p>
    <w:p>
      <w:pPr>
        <w:pStyle w:val="ListBullet"/>
        <w:spacing w:before="40" w:after="40"/>
      </w:pPr>
      <w:r>
        <w:rPr>
          <w:rFonts w:ascii="Arial" w:hAnsi="Arial"/>
          <w:b/>
          <w:color w:val="7C3AED"/>
          <w:sz w:val="22"/>
        </w:rPr>
        <w:t xml:space="preserve">Juan Vargas — </w:t>
      </w:r>
      <w:r>
        <w:rPr>
          <w:rFonts w:ascii="Arial" w:hAnsi="Arial"/>
          <w:color w:val="111827"/>
          <w:sz w:val="22"/>
        </w:rPr>
        <w:t>Fintech</w:t>
      </w:r>
    </w:p>
    <w:p>
      <w:pPr>
        <w:pStyle w:val="ListBullet"/>
        <w:spacing w:before="40" w:after="40"/>
      </w:pPr>
      <w:r>
        <w:rPr>
          <w:rFonts w:ascii="Arial" w:hAnsi="Arial"/>
          <w:b/>
          <w:color w:val="7C3AED"/>
          <w:sz w:val="22"/>
        </w:rPr>
        <w:t xml:space="preserve">Kenny Barrios Jure — </w:t>
      </w:r>
      <w:r>
        <w:rPr>
          <w:rFonts w:ascii="Arial" w:hAnsi="Arial"/>
          <w:color w:val="111827"/>
          <w:sz w:val="22"/>
        </w:rPr>
        <w:t>Venture Capital</w:t>
      </w:r>
    </w:p>
    <w:p>
      <w:pPr>
        <w:pStyle w:val="ListBullet"/>
        <w:spacing w:before="40" w:after="40"/>
      </w:pPr>
      <w:r>
        <w:rPr>
          <w:rFonts w:ascii="Arial" w:hAnsi="Arial"/>
          <w:b/>
          <w:color w:val="7C3AED"/>
          <w:sz w:val="22"/>
        </w:rPr>
        <w:t xml:space="preserve">Faider Altamar — </w:t>
      </w:r>
      <w:r>
        <w:rPr>
          <w:rFonts w:ascii="Arial" w:hAnsi="Arial"/>
          <w:color w:val="111827"/>
          <w:sz w:val="22"/>
        </w:rPr>
        <w:t>CEO · SaaS · IA</w:t>
      </w:r>
    </w:p>
    <w:p>
      <w:pPr>
        <w:pStyle w:val="ListBullet"/>
        <w:spacing w:before="40" w:after="40"/>
      </w:pPr>
      <w:r>
        <w:rPr>
          <w:rFonts w:ascii="Arial" w:hAnsi="Arial"/>
          <w:b/>
          <w:color w:val="7C3AED"/>
          <w:sz w:val="22"/>
        </w:rPr>
        <w:t xml:space="preserve">Mike Munzvil — </w:t>
      </w:r>
      <w:r>
        <w:rPr>
          <w:rFonts w:ascii="Arial" w:hAnsi="Arial"/>
          <w:color w:val="111827"/>
          <w:sz w:val="22"/>
        </w:rPr>
        <w:t>IA · eCommerce (incorporado recientemente)</w:t>
      </w:r>
    </w:p>
    <w:p>
      <w:pPr>
        <w:spacing w:before="0" w:after="160"/>
      </w:pPr>
    </w:p>
    <w:p>
      <w:pPr>
        <w:spacing w:before="180" w:after="60"/>
      </w:pPr>
      <w:r>
        <w:rPr>
          <w:rFonts w:ascii="Arial" w:hAnsi="Arial"/>
          <w:b/>
          <w:color w:val="1E1B4B"/>
          <w:sz w:val="24"/>
        </w:rPr>
        <w:t>Tarjetas interactivas con efecto flip</w:t>
      </w:r>
    </w:p>
    <w:p>
      <w:pPr>
        <w:jc w:val="both"/>
        <w:spacing w:before="0" w:after="100"/>
      </w:pPr>
      <w:r>
        <w:rPr>
          <w:rFonts w:ascii="Arial" w:hAnsi="Arial"/>
          <w:color w:val="111827"/>
          <w:sz w:val="22"/>
        </w:rPr>
        <w:t>Cada tarjeta de speaker fue diseñada con un mecanismo de giro (flip card) que, al interactuar, revela la biografía del ponente en el reverso. Esta decisión de diseño responde a la necesidad de presentar información rica sin saturar visualmente la página. La implementación utilizó una técnica de perspective + opacity, más compatible con iOS que la alternativa preserve-3d, que presentaba fallos en Safari.</w:t>
      </w:r>
    </w:p>
    <w:p>
      <w:pPr>
        <w:spacing w:before="180" w:after="60"/>
      </w:pPr>
      <w:r>
        <w:rPr>
          <w:rFonts w:ascii="Arial" w:hAnsi="Arial"/>
          <w:b/>
          <w:color w:val="1E1B4B"/>
          <w:sz w:val="24"/>
        </w:rPr>
        <w:t>Sistema de carruseles</w:t>
      </w:r>
    </w:p>
    <w:p>
      <w:pPr>
        <w:jc w:val="both"/>
        <w:spacing w:before="0" w:after="100"/>
      </w:pPr>
      <w:r>
        <w:rPr>
          <w:rFonts w:ascii="Arial" w:hAnsi="Arial"/>
          <w:color w:val="111827"/>
          <w:sz w:val="22"/>
        </w:rPr>
        <w:t>Para garantizar una experiencia fluida en pantallas pequeñas, los speakers se organizaron en dos carruseles independientes con loop infinito. Se corrigieron múltiples errores de clonado, desbordamiento y animación, especialmente en dispositivos iOS donde el comportamiento del overflow y las animaciones difiere de otros sistemas operativos.</w:t>
      </w:r>
    </w:p>
    <w:p>
      <w:pPr>
        <w:spacing w:before="180" w:after="60"/>
      </w:pPr>
      <w:r>
        <w:rPr>
          <w:rFonts w:ascii="Arial" w:hAnsi="Arial"/>
          <w:b/>
          <w:color w:val="1E1B4B"/>
          <w:sz w:val="24"/>
        </w:rPr>
        <w:t>Speakers en modo incógnito</w:t>
      </w:r>
    </w:p>
    <w:p>
      <w:pPr>
        <w:jc w:val="both"/>
        <w:spacing w:before="0" w:after="100"/>
      </w:pPr>
      <w:r>
        <w:rPr>
          <w:rFonts w:ascii="Arial" w:hAnsi="Arial"/>
          <w:color w:val="111827"/>
          <w:sz w:val="22"/>
        </w:rPr>
        <w:t>Se implementó la posibilidad de mantener ciertos speakers ocultos (modo incógnito) sin eliminarlos del código, permitiendo revelarlos estratégicamente a medida que se confirmen y anuncien públicamente. Esto se trabajó específicamente para ponentes cuyo anuncio estaba coordinado con una estrategia de comunicación específica.</w:t>
      </w:r>
    </w:p>
    <w:p>
      <w:pPr>
        <w:jc w:val="left"/>
        <w:spacing w:before="240" w:after="80"/>
      </w:pPr>
      <w:r>
        <w:rPr>
          <w:rFonts w:ascii="Arial" w:hAnsi="Arial"/>
          <w:b/>
          <w:color w:val="7C3AED"/>
          <w:sz w:val="28"/>
        </w:rPr>
        <w:t>3.2  Sistema de Tickets y Experiencia</w:t>
      </w:r>
    </w:p>
    <w:p>
      <w:pPr>
        <w:jc w:val="both"/>
        <w:spacing w:before="0" w:after="100"/>
      </w:pPr>
      <w:r>
        <w:rPr>
          <w:rFonts w:ascii="Arial" w:hAnsi="Arial"/>
          <w:color w:val="111827"/>
          <w:sz w:val="22"/>
        </w:rPr>
        <w:t>El módulo de tickets es el corazón comercial del sitio. Se diseñó y refinó una arquitectura de tres niveles claramente diferenciados, pensada para maximizar la percepción de valor en cada segmento de público.</w:t>
      </w:r>
    </w:p>
    <w:p>
      <w:pPr>
        <w:spacing w:before="180" w:after="60"/>
      </w:pPr>
      <w:r>
        <w:rPr>
          <w:rFonts w:ascii="Arial" w:hAnsi="Arial"/>
          <w:b/>
          <w:color w:val="1E1B4B"/>
          <w:sz w:val="24"/>
        </w:rPr>
        <w:t>Estructura de precios</w:t>
      </w:r>
    </w:p>
    <w:p>
      <w:pPr>
        <w:jc w:val="both"/>
        <w:spacing w:before="0" w:after="100"/>
      </w:pPr>
      <w:r>
        <w:rPr>
          <w:rFonts w:ascii="Arial" w:hAnsi="Arial"/>
          <w:color w:val="111827"/>
          <w:sz w:val="22"/>
        </w:rPr>
        <w:t>Los tres niveles de acceso quedaron definidos así:</w:t>
      </w:r>
    </w:p>
    <w:p>
      <w:pPr>
        <w:pBdr>
          <w:left w:val="single" w:sz="18" w:space="8" w:color="7C3AED"/>
        </w:pBdr>
        <w:shd w:val="clear" w:color="auto" w:fill="F3F0FF"/>
        <w:ind w:left="360" w:right="360"/>
        <w:spacing w:before="60" w:after="60"/>
      </w:pPr>
      <w:r>
        <w:rPr>
          <w:rFonts w:ascii="Arial" w:hAnsi="Arial"/>
          <w:b/>
          <w:color w:val="FFFFFF"/>
          <w:sz w:val="20"/>
        </w:rPr>
        <w:t xml:space="preserve">  General  </w:t>
      </w:r>
      <w:r>
        <w:rPr>
          <w:rFonts w:ascii="Arial" w:hAnsi="Arial"/>
          <w:i/>
          <w:color w:val="111827"/>
          <w:sz w:val="20"/>
        </w:rPr>
        <w:t xml:space="preserve">  Desde $129.000 — Acceso al Día 2 de conferencias, zona general.</w:t>
      </w:r>
    </w:p>
    <w:p>
      <w:pPr>
        <w:pBdr>
          <w:left w:val="single" w:sz="18" w:space="8" w:color="7C3AED"/>
        </w:pBdr>
        <w:shd w:val="clear" w:color="auto" w:fill="F3F0FF"/>
        <w:ind w:left="360" w:right="360"/>
        <w:spacing w:before="60" w:after="60"/>
      </w:pPr>
      <w:r>
        <w:rPr>
          <w:rFonts w:ascii="Arial" w:hAnsi="Arial"/>
          <w:b/>
          <w:color w:val="FFFFFF"/>
          <w:sz w:val="20"/>
        </w:rPr>
        <w:t xml:space="preserve">  Diamante  </w:t>
      </w:r>
      <w:r>
        <w:rPr>
          <w:rFonts w:ascii="Arial" w:hAnsi="Arial"/>
          <w:i/>
          <w:color w:val="111827"/>
          <w:sz w:val="20"/>
        </w:rPr>
        <w:t xml:space="preserve">  Desde $497.000 — Días 1 y 2, zona VIP, Meet &amp; Greet con speakers.</w:t>
      </w:r>
    </w:p>
    <w:p>
      <w:pPr>
        <w:pBdr>
          <w:left w:val="single" w:sz="18" w:space="8" w:color="7C3AED"/>
        </w:pBdr>
        <w:shd w:val="clear" w:color="auto" w:fill="F3F0FF"/>
        <w:ind w:left="360" w:right="360"/>
        <w:spacing w:before="60" w:after="60"/>
      </w:pPr>
      <w:r>
        <w:rPr>
          <w:rFonts w:ascii="Arial" w:hAnsi="Arial"/>
          <w:b/>
          <w:color w:val="FFFFFF"/>
          <w:sz w:val="20"/>
        </w:rPr>
        <w:t xml:space="preserve">  Diamante Black  </w:t>
      </w:r>
      <w:r>
        <w:rPr>
          <w:rFonts w:ascii="Arial" w:hAnsi="Arial"/>
          <w:i/>
          <w:color w:val="111827"/>
          <w:sz w:val="20"/>
        </w:rPr>
        <w:t xml:space="preserve">  $1.499.000 — Los 3 días, Mastermind exclusivo Día 3, 50–60 cupos.</w:t>
      </w:r>
    </w:p>
    <w:p>
      <w:pPr>
        <w:spacing w:before="0" w:after="120"/>
      </w:pPr>
    </w:p>
    <w:p>
      <w:pPr>
        <w:jc w:val="both"/>
        <w:spacing w:before="0" w:after="100"/>
      </w:pPr>
      <w:r>
        <w:rPr>
          <w:rFonts w:ascii="Arial" w:hAnsi="Arial"/>
          <w:color w:val="111827"/>
          <w:sz w:val="22"/>
        </w:rPr>
        <w:t>Se ajustaron los precios para que terminaran en .000 en lugar de .999, una decisión deliberada que transmite mayor transparencia y seriedad frente a una audiencia de emprendedores y empresarios.</w:t>
      </w:r>
    </w:p>
    <w:p>
      <w:pPr>
        <w:spacing w:before="180" w:after="60"/>
      </w:pPr>
      <w:r>
        <w:rPr>
          <w:rFonts w:ascii="Arial" w:hAnsi="Arial"/>
          <w:b/>
          <w:color w:val="1E1B4B"/>
          <w:sz w:val="24"/>
        </w:rPr>
        <w:t>Mejora en la descripción del Mastermind Diamante Black</w:t>
      </w:r>
    </w:p>
    <w:p>
      <w:pPr>
        <w:jc w:val="both"/>
        <w:spacing w:before="0" w:after="100"/>
      </w:pPr>
      <w:r>
        <w:rPr>
          <w:rFonts w:ascii="Arial" w:hAnsi="Arial"/>
          <w:color w:val="111827"/>
          <w:sz w:val="22"/>
        </w:rPr>
        <w:t>Uno de los cambios más recientes y relevantes fue la ampliación de la descripción del beneficio exclusivo del Mastermind en el ticket Diamante Black. La descripción original era escueta e imprecisa. Fue reemplazada por el siguiente texto:</w:t>
      </w:r>
    </w:p>
    <w:p>
      <w:pPr>
        <w:jc w:val="both"/>
        <w:pBdr>
          <w:left w:val="single" w:sz="20" w:space="8" w:color="A855F7"/>
        </w:pBdr>
        <w:shd w:val="clear" w:color="auto" w:fill="F3F0FF"/>
        <w:ind w:left="540" w:right="540"/>
        <w:spacing w:before="100" w:after="100"/>
      </w:pPr>
      <w:r>
        <w:rPr>
          <w:rFonts w:ascii="Arial" w:hAnsi="Arial"/>
          <w:b/>
          <w:i/>
          <w:color w:val="7C3AED"/>
          <w:sz w:val="22"/>
        </w:rPr>
        <w:t>"Mastermind exclusivo de implementación: trabaja junto a expertos en estrategias reales de crecimiento, Inteligencia Artificial y eCommerce que podrás aplicar inmediatamente en tu negocio."</w:t>
      </w:r>
    </w:p>
    <w:p>
      <w:pPr>
        <w:jc w:val="both"/>
        <w:spacing w:before="0" w:after="100"/>
      </w:pPr>
      <w:r>
        <w:rPr>
          <w:rFonts w:ascii="Arial" w:hAnsi="Arial"/>
          <w:color w:val="111827"/>
          <w:sz w:val="22"/>
        </w:rPr>
        <w:t>Esta mejora es estratégicamente importante porque el Diamante Black es el ticket de mayor precio y menor volumen. Cada palabra en su descripción debe justificar la inversión y generar deseo. La nueva versión comunica claramente el formato (mastermind), la propuesta de valor (implementación real) y el resultado esperado (aplicación inmediata en el negocio).</w:t>
      </w:r>
    </w:p>
    <w:p>
      <w:pPr>
        <w:spacing w:before="180" w:after="60"/>
      </w:pPr>
      <w:r>
        <w:rPr>
          <w:rFonts w:ascii="Arial" w:hAnsi="Arial"/>
          <w:b/>
          <w:color w:val="1E1B4B"/>
          <w:sz w:val="24"/>
        </w:rPr>
        <w:t>Correcciones visuales y responsive</w:t>
      </w:r>
    </w:p>
    <w:p>
      <w:pPr>
        <w:jc w:val="both"/>
        <w:spacing w:before="0" w:after="100"/>
      </w:pPr>
      <w:r>
        <w:rPr>
          <w:rFonts w:ascii="Arial" w:hAnsi="Arial"/>
          <w:color w:val="111827"/>
          <w:sz w:val="22"/>
        </w:rPr>
        <w:t>Se identificaron y corrigieron problemas visuales en la sección de tickets en dispositivos móviles. Se trabajó también la consistencia visual para que el ticket Diamante Black mantuviera el mismo tamaño base que los demás, diferenciándose únicamente a través del color, el contenido y los elementos de escasez.</w:t>
      </w:r>
    </w:p>
    <w:p>
      <w:pPr>
        <w:jc w:val="left"/>
        <w:spacing w:before="240" w:after="80"/>
      </w:pPr>
      <w:r>
        <w:rPr>
          <w:rFonts w:ascii="Arial" w:hAnsi="Arial"/>
          <w:b/>
          <w:color w:val="7C3AED"/>
          <w:sz w:val="28"/>
        </w:rPr>
        <w:t>3.3  Programa del Evento</w:t>
      </w:r>
    </w:p>
    <w:p>
      <w:pPr>
        <w:jc w:val="both"/>
        <w:spacing w:before="0" w:after="100"/>
      </w:pPr>
      <w:r>
        <w:rPr>
          <w:rFonts w:ascii="Arial" w:hAnsi="Arial"/>
          <w:color w:val="111827"/>
          <w:sz w:val="22"/>
        </w:rPr>
        <w:t>La comunicación clara del programa es fundamental para que el asistente potencial comprenda qué está comprando y pueda proyectar el valor que recibirá. Se estructuró el programa en tres jornadas con contenido y atmósfera propias.</w:t>
      </w:r>
    </w:p>
    <w:p>
      <w:pPr>
        <w:spacing w:before="180" w:after="60"/>
      </w:pPr>
      <w:r>
        <w:rPr>
          <w:rFonts w:ascii="Arial" w:hAnsi="Arial"/>
          <w:b/>
          <w:color w:val="1E1B4B"/>
          <w:sz w:val="24"/>
        </w:rPr>
        <w:t>Día 1 — Noche de Gala (11 de septiembre, 7:30 PM)</w:t>
      </w:r>
    </w:p>
    <w:p>
      <w:pPr>
        <w:jc w:val="both"/>
        <w:spacing w:before="0" w:after="100"/>
      </w:pPr>
      <w:r>
        <w:rPr>
          <w:rFonts w:ascii="Arial" w:hAnsi="Arial"/>
          <w:color w:val="111827"/>
          <w:sz w:val="22"/>
        </w:rPr>
        <w:t>La apertura oficial del evento. Una noche de networking curado entre líderes empresariales, sponsors estratégicos y actores clave del ecosistema regional. Los elementos que la definen son: Keynote inaugural, Vitrina de Sponsors y Cóctel VIP. El dress code definido es Cocktail attire / elegant chic.</w:t>
      </w:r>
    </w:p>
    <w:p>
      <w:pPr>
        <w:jc w:val="both"/>
        <w:spacing w:before="0" w:after="100"/>
      </w:pPr>
      <w:r>
        <w:rPr>
          <w:rFonts w:ascii="Arial" w:hAnsi="Arial"/>
          <w:color w:val="111827"/>
          <w:sz w:val="22"/>
        </w:rPr>
        <w:t>En esta jornada se realizó una depuración importante: se eliminó la referencia a la Ruta Gastronómica tanto de la lista de detalles como del pill de atmósfera del Día de Gala. Esta decisión respondió a una revisión del programa, evitando así compromisos logísticos que podrían generar expectativas difíciles de cumplir.</w:t>
      </w:r>
    </w:p>
    <w:p>
      <w:pPr>
        <w:spacing w:before="180" w:after="60"/>
      </w:pPr>
      <w:r>
        <w:rPr>
          <w:rFonts w:ascii="Arial" w:hAnsi="Arial"/>
          <w:b/>
          <w:color w:val="1E1B4B"/>
          <w:sz w:val="24"/>
        </w:rPr>
        <w:t>Día 2 — Conferencias (12 de septiembre, 9:30 AM)</w:t>
      </w:r>
    </w:p>
    <w:p>
      <w:pPr>
        <w:jc w:val="both"/>
        <w:spacing w:before="0" w:after="100"/>
      </w:pPr>
      <w:r>
        <w:rPr>
          <w:rFonts w:ascii="Arial" w:hAnsi="Arial"/>
          <w:color w:val="111827"/>
          <w:sz w:val="22"/>
        </w:rPr>
        <w:t>El día de mayor densidad de contenido. Más de 15 speakers nacionales e internacionales con sesiones enfocadas en eCommerce e Inteligencia Artificial, Q&amp;A en vivo y zonas de networking activadas durante las pausas.</w:t>
      </w:r>
    </w:p>
    <w:p>
      <w:pPr>
        <w:spacing w:before="180" w:after="60"/>
      </w:pPr>
      <w:r>
        <w:rPr>
          <w:rFonts w:ascii="Arial" w:hAnsi="Arial"/>
          <w:b/>
          <w:color w:val="1E1B4B"/>
          <w:sz w:val="24"/>
        </w:rPr>
        <w:t>Día 3 — Mastermind Diamante Black (13 de septiembre, 8:00 AM)</w:t>
      </w:r>
    </w:p>
    <w:p>
      <w:pPr>
        <w:jc w:val="both"/>
        <w:spacing w:before="0" w:after="100"/>
      </w:pPr>
      <w:r>
        <w:rPr>
          <w:rFonts w:ascii="Arial" w:hAnsi="Arial"/>
          <w:color w:val="111827"/>
          <w:sz w:val="22"/>
        </w:rPr>
        <w:t>La jornada más exclusiva, disponible únicamente para los 50 a 60 titulares del ticket Diamante Black. El formato es un Mastermind de implementación con las tres metodologías clave del ecosistema de innovación, mentoría grupal y un directorio de contactos exclusivo para los participantes. Se trabajó esta sección para que su presentación transmitiera escasez, exclusividad y valor práctico inmediato.</w:t>
      </w:r>
    </w:p>
    <w:p>
      <w:pPr>
        <w:spacing w:before="180" w:after="60"/>
      </w:pPr>
      <w:r>
        <w:rPr>
          <w:rFonts w:ascii="Arial" w:hAnsi="Arial"/>
          <w:b/>
          <w:color w:val="1E1B4B"/>
          <w:sz w:val="24"/>
        </w:rPr>
        <w:t>Navegación entre días</w:t>
      </w:r>
    </w:p>
    <w:p>
      <w:pPr>
        <w:jc w:val="both"/>
        <w:spacing w:before="0" w:after="100"/>
      </w:pPr>
      <w:r>
        <w:rPr>
          <w:rFonts w:ascii="Arial" w:hAnsi="Arial"/>
          <w:color w:val="111827"/>
          <w:sz w:val="22"/>
        </w:rPr>
        <w:t>Se implementó un sistema de scroll suave que lleva al usuario directamente a la descripción del día seleccionado al hacer clic en las pestañas de navegación del programa. Esto mejora significativamente la experiencia en dispositivos móviles donde la sección del programa ocupa varias pantallas de altura.</w:t>
      </w:r>
    </w:p>
    <w:p>
      <w:pPr>
        <w:jc w:val="left"/>
        <w:spacing w:before="240" w:after="80"/>
      </w:pPr>
      <w:r>
        <w:rPr>
          <w:rFonts w:ascii="Arial" w:hAnsi="Arial"/>
          <w:b/>
          <w:color w:val="7C3AED"/>
          <w:sz w:val="28"/>
        </w:rPr>
        <w:t>3.4  Mejoras Técnicas y de Rendimiento</w:t>
      </w:r>
    </w:p>
    <w:p>
      <w:pPr>
        <w:jc w:val="both"/>
        <w:spacing w:before="0" w:after="100"/>
      </w:pPr>
      <w:r>
        <w:rPr>
          <w:rFonts w:ascii="Arial" w:hAnsi="Arial"/>
          <w:color w:val="111827"/>
          <w:sz w:val="22"/>
        </w:rPr>
        <w:t>Más allá del contenido visible, se realizó un conjunto significativo de mejoras técnicas que impactan directamente en la experiencia del usuario y en la capacidad del sitio de convertir visitas en registros.</w:t>
      </w:r>
    </w:p>
    <w:p>
      <w:pPr>
        <w:spacing w:before="180" w:after="60"/>
      </w:pPr>
      <w:r>
        <w:rPr>
          <w:rFonts w:ascii="Arial" w:hAnsi="Arial"/>
          <w:b/>
          <w:color w:val="1E1B4B"/>
          <w:sz w:val="24"/>
        </w:rPr>
        <w:t>Responsive móvil</w:t>
      </w:r>
    </w:p>
    <w:p>
      <w:pPr>
        <w:jc w:val="both"/>
        <w:spacing w:before="0" w:after="100"/>
      </w:pPr>
      <w:r>
        <w:rPr>
          <w:rFonts w:ascii="Arial" w:hAnsi="Arial"/>
          <w:color w:val="111827"/>
          <w:sz w:val="22"/>
        </w:rPr>
        <w:t>Una proporción creciente del tráfico web proviene de dispositivos móviles. En eventos de esta naturaleza, el comportamiento en WhatsApp y redes sociales hace que el móvil sea el dispositivo predominante. Las correcciones realizadas incluyen:</w:t>
      </w:r>
    </w:p>
    <w:p>
      <w:pPr>
        <w:pStyle w:val="ListBullet"/>
        <w:spacing w:before="40" w:after="40"/>
      </w:pPr>
      <w:r>
        <w:rPr>
          <w:rFonts w:ascii="Arial" w:hAnsi="Arial"/>
          <w:color w:val="111827"/>
          <w:sz w:val="22"/>
        </w:rPr>
        <w:t>Overflow y reinicio de animación en el carrusel de speakers corregidos para iOS</w:t>
      </w:r>
    </w:p>
    <w:p>
      <w:pPr>
        <w:pStyle w:val="ListBullet"/>
        <w:spacing w:before="40" w:after="40"/>
      </w:pPr>
      <w:r>
        <w:rPr>
          <w:rFonts w:ascii="Arial" w:hAnsi="Arial"/>
          <w:color w:val="111827"/>
          <w:sz w:val="22"/>
        </w:rPr>
        <w:t>Técnica de animación de flip cards reemplazada para compatibilidad universal</w:t>
      </w:r>
    </w:p>
    <w:p>
      <w:pPr>
        <w:pStyle w:val="ListBullet"/>
        <w:spacing w:before="40" w:after="40"/>
      </w:pPr>
      <w:r>
        <w:rPr>
          <w:rFonts w:ascii="Arial" w:hAnsi="Arial"/>
          <w:color w:val="111827"/>
          <w:sz w:val="22"/>
        </w:rPr>
        <w:t>Tarjetas de tickets adaptadas para pantallas de 375px</w:t>
      </w:r>
    </w:p>
    <w:p>
      <w:pPr>
        <w:pStyle w:val="ListBullet"/>
        <w:spacing w:before="40" w:after="40"/>
      </w:pPr>
      <w:r>
        <w:rPr>
          <w:rFonts w:ascii="Arial" w:hAnsi="Arial"/>
          <w:color w:val="111827"/>
          <w:sz w:val="22"/>
        </w:rPr>
        <w:t>Gradientes de texto y sombras corregidos en versión móvil</w:t>
      </w:r>
    </w:p>
    <w:p>
      <w:pPr>
        <w:pStyle w:val="ListBullet"/>
        <w:spacing w:before="40" w:after="40"/>
      </w:pPr>
      <w:r>
        <w:rPr>
          <w:rFonts w:ascii="Arial" w:hAnsi="Arial"/>
          <w:color w:val="111827"/>
          <w:sz w:val="22"/>
        </w:rPr>
        <w:t>Celdas de contacto corregidas para evitar desbordamiento de texto largo</w:t>
      </w:r>
    </w:p>
    <w:p>
      <w:pPr>
        <w:spacing w:before="0" w:after="120"/>
      </w:pPr>
    </w:p>
    <w:p>
      <w:pPr>
        <w:spacing w:before="180" w:after="60"/>
      </w:pPr>
      <w:r>
        <w:rPr>
          <w:rFonts w:ascii="Arial" w:hAnsi="Arial"/>
          <w:b/>
          <w:color w:val="1E1B4B"/>
          <w:sz w:val="24"/>
        </w:rPr>
        <w:t>Meta Pixel para Marketing Digital</w:t>
      </w:r>
    </w:p>
    <w:p>
      <w:pPr>
        <w:jc w:val="both"/>
        <w:spacing w:before="0" w:after="100"/>
      </w:pPr>
      <w:r>
        <w:rPr>
          <w:rFonts w:ascii="Arial" w:hAnsi="Arial"/>
          <w:color w:val="111827"/>
          <w:sz w:val="22"/>
        </w:rPr>
        <w:t>Se integró el Meta Pixel con ID 481397476029941. Esta integración es estratégicamente crítica porque permite:</w:t>
      </w:r>
    </w:p>
    <w:p>
      <w:pPr>
        <w:pStyle w:val="ListBullet"/>
        <w:spacing w:before="40" w:after="40"/>
      </w:pPr>
      <w:r>
        <w:rPr>
          <w:rFonts w:ascii="Arial" w:hAnsi="Arial"/>
          <w:color w:val="111827"/>
          <w:sz w:val="22"/>
        </w:rPr>
        <w:t>Rastrear visitantes del sitio para campañas de remarketing en Facebook e Instagram</w:t>
      </w:r>
    </w:p>
    <w:p>
      <w:pPr>
        <w:pStyle w:val="ListBullet"/>
        <w:spacing w:before="40" w:after="40"/>
      </w:pPr>
      <w:r>
        <w:rPr>
          <w:rFonts w:ascii="Arial" w:hAnsi="Arial"/>
          <w:color w:val="111827"/>
          <w:sz w:val="22"/>
        </w:rPr>
        <w:t>Construir audiencias personalizadas basadas en comportamiento de navegación</w:t>
      </w:r>
    </w:p>
    <w:p>
      <w:pPr>
        <w:pStyle w:val="ListBullet"/>
        <w:spacing w:before="40" w:after="40"/>
      </w:pPr>
      <w:r>
        <w:rPr>
          <w:rFonts w:ascii="Arial" w:hAnsi="Arial"/>
          <w:color w:val="111827"/>
          <w:sz w:val="22"/>
        </w:rPr>
        <w:t>Medir conversiones atribuibles a campañas pagadas</w:t>
      </w:r>
    </w:p>
    <w:p>
      <w:pPr>
        <w:pStyle w:val="ListBullet"/>
        <w:spacing w:before="40" w:after="40"/>
      </w:pPr>
      <w:r>
        <w:rPr>
          <w:rFonts w:ascii="Arial" w:hAnsi="Arial"/>
          <w:color w:val="111827"/>
          <w:sz w:val="22"/>
        </w:rPr>
        <w:t>Optimizar el presupuesto publicitario con datos reales de comportamiento</w:t>
      </w:r>
    </w:p>
    <w:p>
      <w:pPr>
        <w:spacing w:before="0" w:after="120"/>
      </w:pPr>
    </w:p>
    <w:p>
      <w:pPr>
        <w:jc w:val="both"/>
        <w:spacing w:before="0" w:after="100"/>
      </w:pPr>
      <w:r>
        <w:rPr>
          <w:rFonts w:ascii="Arial" w:hAnsi="Arial"/>
          <w:color w:val="111827"/>
          <w:sz w:val="22"/>
        </w:rPr>
        <w:t>Sin el Pixel correctamente instalado, cualquier inversión en publicidad en Meta opera sin datos de retorno, lo que hace imposible la optimización. Su instalación fue una prioridad técnica de alto impacto comercial.</w:t>
      </w:r>
    </w:p>
    <w:p>
      <w:pPr>
        <w:spacing w:before="180" w:after="60"/>
      </w:pPr>
      <w:r>
        <w:rPr>
          <w:rFonts w:ascii="Arial" w:hAnsi="Arial"/>
          <w:b/>
          <w:color w:val="1E1B4B"/>
          <w:sz w:val="24"/>
        </w:rPr>
        <w:t>Audio Ambiental</w:t>
      </w:r>
    </w:p>
    <w:p>
      <w:pPr>
        <w:jc w:val="both"/>
        <w:spacing w:before="0" w:after="100"/>
      </w:pPr>
      <w:r>
        <w:rPr>
          <w:rFonts w:ascii="Arial" w:hAnsi="Arial"/>
          <w:color w:val="111827"/>
          <w:sz w:val="22"/>
        </w:rPr>
        <w:t>Se integró un reproductor de audio ambiental en el header del sitio (botón "Sonido"), con un track de atmósfera de alta calidad (formato IMX). El audio ambiental transforma la visita al sitio en una experiencia sensorial que predispone emocionalmente al visitante hacia el evento, siendo un diferenciador que no se encuentra en la mayoría de sitios de eventos locales.</w:t>
      </w:r>
    </w:p>
    <w:p>
      <w:pPr>
        <w:spacing w:before="180" w:after="60"/>
      </w:pPr>
      <w:r>
        <w:rPr>
          <w:rFonts w:ascii="Arial" w:hAnsi="Arial"/>
          <w:b/>
          <w:color w:val="1E1B4B"/>
          <w:sz w:val="24"/>
        </w:rPr>
        <w:t>Sección de Venue con Mapa y Colaje</w:t>
      </w:r>
    </w:p>
    <w:p>
      <w:pPr>
        <w:jc w:val="both"/>
        <w:spacing w:before="0" w:after="100"/>
      </w:pPr>
      <w:r>
        <w:rPr>
          <w:rFonts w:ascii="Arial" w:hAnsi="Arial"/>
          <w:color w:val="111827"/>
          <w:sz w:val="22"/>
        </w:rPr>
        <w:t>Se añadió una sección dedicada al lugar del evento (Coliseo de Ferias de Tuluá) con un colaje fotográfico y un mapa interactivo. Esta información reduce la incertidumbre del asistente potencial sobre la logística y el entorno del evento.</w:t>
      </w:r>
    </w:p>
    <w:p>
      <w:pPr>
        <w:jc w:val="left"/>
        <w:spacing w:before="240" w:after="80"/>
      </w:pPr>
      <w:r>
        <w:rPr>
          <w:rFonts w:ascii="Arial" w:hAnsi="Arial"/>
          <w:b/>
          <w:color w:val="7C3AED"/>
          <w:sz w:val="28"/>
        </w:rPr>
        <w:t>3.5  Páginas Legales</w:t>
      </w:r>
    </w:p>
    <w:p>
      <w:pPr>
        <w:jc w:val="both"/>
        <w:spacing w:before="0" w:after="100"/>
      </w:pPr>
      <w:r>
        <w:rPr>
          <w:rFonts w:ascii="Arial" w:hAnsi="Arial"/>
          <w:color w:val="111827"/>
          <w:sz w:val="22"/>
        </w:rPr>
        <w:t>El cumplimiento legal es un requisito no negociable para la venta de entradas y el tratamiento de datos personales en Colombia. Se crearon dos documentos legales completos:</w:t>
      </w:r>
    </w:p>
    <w:p>
      <w:pPr>
        <w:spacing w:before="180" w:after="60"/>
      </w:pPr>
      <w:r>
        <w:rPr>
          <w:rFonts w:ascii="Arial" w:hAnsi="Arial"/>
          <w:b/>
          <w:color w:val="1E1B4B"/>
          <w:sz w:val="24"/>
        </w:rPr>
        <w:t>Términos y Condiciones (terminos.html)</w:t>
      </w:r>
    </w:p>
    <w:p>
      <w:pPr>
        <w:jc w:val="both"/>
        <w:spacing w:before="0" w:after="100"/>
      </w:pPr>
      <w:r>
        <w:rPr>
          <w:rFonts w:ascii="Arial" w:hAnsi="Arial"/>
          <w:color w:val="111827"/>
          <w:sz w:val="22"/>
        </w:rPr>
        <w:t>El documento regula la relación entre el organizador y el comprador de entradas, abarcando: condiciones de uso del sitio, política de compra y reembolso de tickets, responsabilidades del organizador, modificaciones del programa y limitaciones de responsabilidad. Su existencia protege legalmente al organizador ante reclamaciones y genera confianza en el comprador.</w:t>
      </w:r>
    </w:p>
    <w:p>
      <w:pPr>
        <w:spacing w:before="180" w:after="60"/>
      </w:pPr>
      <w:r>
        <w:rPr>
          <w:rFonts w:ascii="Arial" w:hAnsi="Arial"/>
          <w:b/>
          <w:color w:val="1E1B4B"/>
          <w:sz w:val="24"/>
        </w:rPr>
        <w:t>Política de Privacidad (politica.html)</w:t>
      </w:r>
    </w:p>
    <w:p>
      <w:pPr>
        <w:jc w:val="both"/>
        <w:spacing w:before="0" w:after="100"/>
      </w:pPr>
      <w:r>
        <w:rPr>
          <w:rFonts w:ascii="Arial" w:hAnsi="Arial"/>
          <w:color w:val="111827"/>
          <w:sz w:val="22"/>
        </w:rPr>
        <w:t>Documento obligatorio bajo la Ley 1581 de 2012 (Ley de Habeas Data de Colombia) y conforme al principio de transparencia en el tratamiento de datos personales. Describe qué datos se recopilan, con qué finalidad, cómo se almacenan y los derechos del titular. Su ausencia expone al organizador a sanciones de la Superintendencia de Industria y Comercio.</w:t>
      </w:r>
    </w:p>
    <w:p>
      <w:pPr>
        <w:jc w:val="left"/>
        <w:spacing w:before="240" w:after="80"/>
      </w:pPr>
      <w:r>
        <w:rPr>
          <w:rFonts w:ascii="Arial" w:hAnsi="Arial"/>
          <w:b/>
          <w:color w:val="7C3AED"/>
          <w:sz w:val="28"/>
        </w:rPr>
        <w:t>3.6  Sistema de Patrocinadores</w:t>
      </w:r>
    </w:p>
    <w:p>
      <w:pPr>
        <w:jc w:val="both"/>
        <w:spacing w:before="0" w:after="100"/>
      </w:pPr>
      <w:r>
        <w:rPr>
          <w:rFonts w:ascii="Arial" w:hAnsi="Arial"/>
          <w:color w:val="111827"/>
          <w:sz w:val="22"/>
        </w:rPr>
        <w:t>Se desarrolló un módulo completo de patrocinadores con cuatro niveles de participación claramente diferenciados, cada uno con beneficios específicos y visibilidad proporcional a la inversión:</w:t>
      </w:r>
    </w:p>
    <w:tbl>
      <w:tblPr>
        <w:tblStyle w:val="TableGrid"/>
        <w:tblW w:type="auto" w:w="0"/>
        <w:tblLook w:firstColumn="1" w:firstRow="1" w:lastColumn="0" w:lastRow="0" w:noHBand="0" w:noVBand="1" w:val="04A0"/>
      </w:tblPr>
      <w:tblGrid>
        <w:gridCol w:w="4536"/>
        <w:gridCol w:w="4536"/>
      </w:tblGrid>
      <w:tr>
        <w:tc>
          <w:tcPr>
            <w:tcW w:type="dxa" w:w="2880"/>
            <w:shd w:val="clear" w:color="auto" w:fill="EDE9FE"/>
            <w:vAlign w:val="center"/>
          </w:tcPr>
          <w:p>
            <w:pPr>
              <w:spacing w:before="60" w:after="60"/>
            </w:pPr>
            <w:r>
              <w:rPr>
                <w:rFonts w:ascii="Arial" w:hAnsi="Arial"/>
                <w:b/>
                <w:color w:val="7C3AED"/>
                <w:sz w:val="20"/>
              </w:rPr>
              <w:t>Platino</w:t>
            </w:r>
          </w:p>
        </w:tc>
        <w:tc>
          <w:tcPr>
            <w:tcW w:type="dxa" w:w="6192"/>
            <w:shd w:val="clear" w:color="auto" w:fill="FFFFFF"/>
            <w:vAlign w:val="center"/>
          </w:tcPr>
          <w:p>
            <w:pPr>
              <w:spacing w:before="60" w:after="60"/>
            </w:pPr>
            <w:r>
              <w:rPr>
                <w:rFonts w:ascii="Arial" w:hAnsi="Arial"/>
                <w:color w:val="111827"/>
                <w:sz w:val="20"/>
              </w:rPr>
              <w:t>Stand 16M² · 3 entradas Diamante Black + 35 Generales · máxima visibilidad</w:t>
            </w:r>
          </w:p>
        </w:tc>
      </w:tr>
      <w:tr>
        <w:tc>
          <w:tcPr>
            <w:tcW w:type="dxa" w:w="2880"/>
            <w:shd w:val="clear" w:color="auto" w:fill="F3F0FF"/>
            <w:vAlign w:val="center"/>
          </w:tcPr>
          <w:p>
            <w:pPr>
              <w:spacing w:before="60" w:after="60"/>
            </w:pPr>
            <w:r>
              <w:rPr>
                <w:rFonts w:ascii="Arial" w:hAnsi="Arial"/>
                <w:b/>
                <w:color w:val="7C3AED"/>
                <w:sz w:val="20"/>
              </w:rPr>
              <w:t>Oro</w:t>
            </w:r>
          </w:p>
        </w:tc>
        <w:tc>
          <w:tcPr>
            <w:tcW w:type="dxa" w:w="6192"/>
            <w:shd w:val="clear" w:color="auto" w:fill="FAF8FF"/>
            <w:vAlign w:val="center"/>
          </w:tcPr>
          <w:p>
            <w:pPr>
              <w:spacing w:before="60" w:after="60"/>
            </w:pPr>
            <w:r>
              <w:rPr>
                <w:rFonts w:ascii="Arial" w:hAnsi="Arial"/>
                <w:color w:val="111827"/>
                <w:sz w:val="20"/>
              </w:rPr>
              <w:t>Stand 9M² · 1 entrada Diamante Black + 20 Generales</w:t>
            </w:r>
          </w:p>
        </w:tc>
      </w:tr>
      <w:tr>
        <w:tc>
          <w:tcPr>
            <w:tcW w:type="dxa" w:w="2880"/>
            <w:shd w:val="clear" w:color="auto" w:fill="EDE9FE"/>
            <w:vAlign w:val="center"/>
          </w:tcPr>
          <w:p>
            <w:pPr>
              <w:spacing w:before="60" w:after="60"/>
            </w:pPr>
            <w:r>
              <w:rPr>
                <w:rFonts w:ascii="Arial" w:hAnsi="Arial"/>
                <w:b/>
                <w:color w:val="7C3AED"/>
                <w:sz w:val="20"/>
              </w:rPr>
              <w:t>Plata</w:t>
            </w:r>
          </w:p>
        </w:tc>
        <w:tc>
          <w:tcPr>
            <w:tcW w:type="dxa" w:w="6192"/>
            <w:shd w:val="clear" w:color="auto" w:fill="FFFFFF"/>
            <w:vAlign w:val="center"/>
          </w:tcPr>
          <w:p>
            <w:pPr>
              <w:spacing w:before="60" w:after="60"/>
            </w:pPr>
            <w:r>
              <w:rPr>
                <w:rFonts w:ascii="Arial" w:hAnsi="Arial"/>
                <w:color w:val="111827"/>
                <w:sz w:val="20"/>
              </w:rPr>
              <w:t>Stand 4M² · 1 entrada Diamante + 10 Generales</w:t>
            </w:r>
          </w:p>
        </w:tc>
      </w:tr>
      <w:tr>
        <w:tc>
          <w:tcPr>
            <w:tcW w:type="dxa" w:w="2880"/>
            <w:shd w:val="clear" w:color="auto" w:fill="F3F0FF"/>
            <w:vAlign w:val="center"/>
          </w:tcPr>
          <w:p>
            <w:pPr>
              <w:spacing w:before="60" w:after="60"/>
            </w:pPr>
            <w:r>
              <w:rPr>
                <w:rFonts w:ascii="Arial" w:hAnsi="Arial"/>
                <w:b/>
                <w:color w:val="7C3AED"/>
                <w:sz w:val="20"/>
              </w:rPr>
              <w:t>Bronce</w:t>
            </w:r>
          </w:p>
        </w:tc>
        <w:tc>
          <w:tcPr>
            <w:tcW w:type="dxa" w:w="6192"/>
            <w:shd w:val="clear" w:color="auto" w:fill="FAF8FF"/>
            <w:vAlign w:val="center"/>
          </w:tcPr>
          <w:p>
            <w:pPr>
              <w:spacing w:before="60" w:after="60"/>
            </w:pPr>
            <w:r>
              <w:rPr>
                <w:rFonts w:ascii="Arial" w:hAnsi="Arial"/>
                <w:color w:val="111827"/>
                <w:sz w:val="20"/>
              </w:rPr>
              <w:t>Visibilidad digital · 2 entradas Generales</w:t>
            </w:r>
          </w:p>
        </w:tc>
      </w:tr>
    </w:tbl>
    <w:p>
      <w:pPr>
        <w:spacing w:before="0" w:after="160"/>
      </w:pPr>
    </w:p>
    <w:p>
      <w:pPr>
        <w:jc w:val="both"/>
        <w:spacing w:before="0" w:after="100"/>
      </w:pPr>
      <w:r>
        <w:rPr>
          <w:rFonts w:ascii="Arial" w:hAnsi="Arial"/>
          <w:color w:val="111827"/>
          <w:sz w:val="22"/>
        </w:rPr>
        <w:t>El módulo incluye un ticker animado que muestra los logos de los patrocinadores actuales, y un modal interactivo que despliega el detalle de cada nivel. Esta implementación sirve un doble propósito: valoriza a los patrocinadores actuales ante todos los visitantes del sitio, y actúa como argumento de venta para nuevos patrocinadores potenciales.</w:t>
      </w:r>
    </w:p>
    <w:p>
      <w:pPr>
        <w:jc w:val="left"/>
        <w:spacing w:before="360" w:after="120"/>
        <w:pBdr>
          <w:bottom w:val="single" w:sz="8" w:space="4" w:color="A855F7"/>
        </w:pBdr>
      </w:pPr>
      <w:r>
        <w:rPr>
          <w:rFonts w:ascii="Arial" w:hAnsi="Arial"/>
          <w:b/>
          <w:color w:val="1E1B4B"/>
          <w:sz w:val="36"/>
        </w:rPr>
        <w:t>4. Impacto y Justificación Estratégica</w:t>
      </w:r>
    </w:p>
    <w:p>
      <w:pPr>
        <w:jc w:val="both"/>
        <w:spacing w:before="0" w:after="100"/>
      </w:pPr>
      <w:r>
        <w:rPr>
          <w:rFonts w:ascii="Arial" w:hAnsi="Arial"/>
          <w:color w:val="111827"/>
          <w:sz w:val="22"/>
        </w:rPr>
        <w:t>Cada uno de los cambios descritos en este informe responde a una necesidad específica detectada durante el proceso de construcción, durante pruebas de usuario, o como resultado de una revisión estratégica del contenido del evento. No se trata de cambios cosméticos: cada intervención tiene una justificación de negocio clara.</w:t>
      </w:r>
    </w:p>
    <w:p>
      <w:pPr>
        <w:jc w:val="both"/>
        <w:spacing w:before="0" w:after="100"/>
      </w:pPr>
      <w:r>
        <w:rPr>
          <w:rFonts w:ascii="Arial" w:hAnsi="Arial"/>
          <w:color w:val="111827"/>
          <w:sz w:val="22"/>
        </w:rPr>
        <w:t>La sección de speakers fortalece la credibilidad y el deseo. El sistema de tickets comunica valor y escasez. Las mejoras técnicas garantizan que ningún usuario abandone el sitio por problemas de rendimiento o visualización. El Meta Pixel habilita la optimización de la inversión publicitaria. Las páginas legales protegen al organizador y generan confianza. Y el sistema de patrocinadores abre una fuente de ingreso adicional al evento.</w:t>
      </w:r>
    </w:p>
    <w:p>
      <w:pPr>
        <w:jc w:val="both"/>
        <w:spacing w:before="0" w:after="100"/>
      </w:pPr>
      <w:r>
        <w:rPr>
          <w:rFonts w:ascii="Arial" w:hAnsi="Arial"/>
          <w:color w:val="111827"/>
          <w:sz w:val="22"/>
        </w:rPr>
        <w:t>En conjunto, el sitio evolucionó de una versión inicial funcional a una plataforma de conversión madura, capaz de representar con fidelidad la propuesta de valor de un evento de esta escala y de competir visualmente con eventos de referencia a nivel latinoamericano.</w:t>
      </w:r>
    </w:p>
    <w:p>
      <w:pPr>
        <w:jc w:val="left"/>
        <w:spacing w:before="360" w:after="120"/>
        <w:pBdr>
          <w:bottom w:val="single" w:sz="8" w:space="4" w:color="A855F7"/>
        </w:pBdr>
      </w:pPr>
      <w:r>
        <w:rPr>
          <w:rFonts w:ascii="Arial" w:hAnsi="Arial"/>
          <w:b/>
          <w:color w:val="1E1B4B"/>
          <w:sz w:val="36"/>
        </w:rPr>
        <w:t>5. Estado Actual y Próximos Pasos</w:t>
      </w:r>
    </w:p>
    <w:p>
      <w:pPr>
        <w:jc w:val="both"/>
        <w:spacing w:before="0" w:after="100"/>
      </w:pPr>
      <w:r>
        <w:rPr>
          <w:rFonts w:ascii="Arial" w:hAnsi="Arial"/>
          <w:color w:val="111827"/>
          <w:sz w:val="22"/>
        </w:rPr>
        <w:t>A la fecha de este informe, el sitio se encuentra completamente operativo en producción (rama main del repositorio, publicado en labssummit.com). Todos los cambios documentados están desplegados y accesibles para el público.</w:t>
      </w:r>
    </w:p>
    <w:p>
      <w:pPr>
        <w:spacing w:before="180" w:after="60"/>
      </w:pPr>
      <w:r>
        <w:rPr>
          <w:rFonts w:ascii="Arial" w:hAnsi="Arial"/>
          <w:b/>
          <w:color w:val="1E1B4B"/>
          <w:sz w:val="24"/>
        </w:rPr>
        <w:t>Pendientes identificados</w:t>
      </w:r>
    </w:p>
    <w:p>
      <w:pPr>
        <w:pStyle w:val="ListBullet"/>
        <w:spacing w:before="40" w:after="40"/>
      </w:pPr>
      <w:r>
        <w:rPr>
          <w:rFonts w:ascii="Arial" w:hAnsi="Arial"/>
          <w:b/>
          <w:color w:val="7C3AED"/>
          <w:sz w:val="22"/>
        </w:rPr>
        <w:t xml:space="preserve">Foto de Mike Munzvil: </w:t>
      </w:r>
      <w:r>
        <w:rPr>
          <w:rFonts w:ascii="Arial" w:hAnsi="Arial"/>
          <w:color w:val="111827"/>
          <w:sz w:val="22"/>
        </w:rPr>
        <w:t>La tarjeta fue creada en el código, pero requiere la imagen PNG sin texto superpuesto para reemplazar el placeholder actual.</w:t>
      </w:r>
    </w:p>
    <w:p>
      <w:pPr>
        <w:pStyle w:val="ListBullet"/>
        <w:spacing w:before="40" w:after="40"/>
      </w:pPr>
      <w:r>
        <w:rPr>
          <w:rFonts w:ascii="Arial" w:hAnsi="Arial"/>
          <w:b/>
          <w:color w:val="7C3AED"/>
          <w:sz w:val="22"/>
        </w:rPr>
        <w:t xml:space="preserve">Speakers por revelar: </w:t>
      </w:r>
      <w:r>
        <w:rPr>
          <w:rFonts w:ascii="Arial" w:hAnsi="Arial"/>
          <w:color w:val="111827"/>
          <w:sz w:val="22"/>
        </w:rPr>
        <w:t>Existen múltiples tarjetas en modo "mystery" que serán activadas a medida que se confirmen y anuncien públicamente los ponentes restantes.</w:t>
      </w:r>
    </w:p>
    <w:p>
      <w:pPr>
        <w:pStyle w:val="ListBullet"/>
        <w:spacing w:before="40" w:after="40"/>
      </w:pPr>
      <w:r>
        <w:rPr>
          <w:rFonts w:ascii="Arial" w:hAnsi="Arial"/>
          <w:b/>
          <w:color w:val="7C3AED"/>
          <w:sz w:val="22"/>
        </w:rPr>
        <w:t xml:space="preserve">Campañas Meta Ads: </w:t>
      </w:r>
      <w:r>
        <w:rPr>
          <w:rFonts w:ascii="Arial" w:hAnsi="Arial"/>
          <w:color w:val="111827"/>
          <w:sz w:val="22"/>
        </w:rPr>
        <w:t>Con el Pixel ya instalado, el siguiente paso es activar campañas de remarketing y lookalike audiences para maximizar la conversión de visitas en ventas.</w:t>
      </w:r>
    </w:p>
    <w:p>
      <w:pPr>
        <w:pStyle w:val="ListBullet"/>
        <w:spacing w:before="40" w:after="40"/>
      </w:pPr>
      <w:r>
        <w:rPr>
          <w:rFonts w:ascii="Arial" w:hAnsi="Arial"/>
          <w:b/>
          <w:color w:val="7C3AED"/>
          <w:sz w:val="22"/>
        </w:rPr>
        <w:t xml:space="preserve">Agenda definitiva: </w:t>
      </w:r>
      <w:r>
        <w:rPr>
          <w:rFonts w:ascii="Arial" w:hAnsi="Arial"/>
          <w:color w:val="111827"/>
          <w:sz w:val="22"/>
        </w:rPr>
        <w:t>Confirmar y publicar la agenda horaria completa de los días 2 y 3 con nombres de ponentes y temas de cada sesión.</w:t>
      </w:r>
    </w:p>
    <w:p>
      <w:pPr>
        <w:pStyle w:val="ListBullet"/>
        <w:spacing w:before="40" w:after="40"/>
      </w:pPr>
      <w:r>
        <w:rPr>
          <w:rFonts w:ascii="Arial" w:hAnsi="Arial"/>
          <w:b/>
          <w:color w:val="7C3AED"/>
          <w:sz w:val="22"/>
        </w:rPr>
        <w:t xml:space="preserve">FAQ actualizada: </w:t>
      </w:r>
      <w:r>
        <w:rPr>
          <w:rFonts w:ascii="Arial" w:hAnsi="Arial"/>
          <w:color w:val="111827"/>
          <w:sz w:val="22"/>
        </w:rPr>
        <w:t>Incorporar nuevas preguntas frecuentes basadas en las consultas recibidas a través de los canales de comunicación del evento.</w:t>
      </w:r>
    </w:p>
    <w:p>
      <w:pPr>
        <w:jc w:val="left"/>
        <w:spacing w:before="360" w:after="120"/>
        <w:pBdr>
          <w:bottom w:val="single" w:sz="8" w:space="4" w:color="A855F7"/>
        </w:pBdr>
      </w:pPr>
      <w:r>
        <w:rPr>
          <w:rFonts w:ascii="Arial" w:hAnsi="Arial"/>
          <w:b/>
          <w:color w:val="1E1B4B"/>
          <w:sz w:val="36"/>
        </w:rPr>
        <w:t>6. Conclusión</w:t>
      </w:r>
    </w:p>
    <w:p>
      <w:pPr>
        <w:jc w:val="both"/>
        <w:spacing w:before="0" w:after="100"/>
      </w:pPr>
      <w:r>
        <w:rPr>
          <w:rFonts w:ascii="Arial" w:hAnsi="Arial"/>
          <w:color w:val="111827"/>
          <w:sz w:val="22"/>
        </w:rPr>
        <w:t>El trabajo realizado sobre el sitio web de Tuluá Labs Summit 2026 representa una construcción iterativa y rigurosa de una plataforma digital orientada a resultados. Cada decisión técnica estuvo subordinada a un objetivo de negocio: vender entradas, posicionar el evento, captar patrocinadores y construir comunidad alrededor del ecosistema de tecnología e innovación del Valle del Cauca.</w:t>
      </w:r>
    </w:p>
    <w:p>
      <w:pPr>
        <w:jc w:val="both"/>
        <w:spacing w:before="0" w:after="100"/>
      </w:pPr>
      <w:r>
        <w:rPr>
          <w:rFonts w:ascii="Arial" w:hAnsi="Arial"/>
          <w:color w:val="111827"/>
          <w:sz w:val="22"/>
        </w:rPr>
        <w:t>El sitio está listo para soportar la demanda prevista y para ser el eje central de la comunicación digital del evento en los próximos 100 días hasta el inicio del Summit. Con los pendientes menores resueltos y las campañas publicitarias activadas, la plataforma tiene todo lo necesario para contribuir al éxito comercial y reputacional del evento.</w:t>
      </w:r>
    </w:p>
    <w:p>
      <w:pPr>
        <w:spacing w:before="0" w:after="320"/>
      </w:pPr>
    </w:p>
    <w:p>
      <w:pPr>
        <w:jc w:val="center"/>
        <w:pBdr>
          <w:bottom w:val="single" w:sz="4" w:space="4" w:color="D8B4FE"/>
        </w:pBdr>
      </w:pPr>
      <w:r>
        <w:rPr>
          <w:rFonts w:ascii="Arial" w:hAnsi="Arial"/>
          <w:i/>
          <w:color w:val="6B7280"/>
          <w:sz w:val="18"/>
        </w:rPr>
        <w:t>labssummit.com  —  Tuluá, Valle del Cauca  —  Septiembre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