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Inform</w:t>
            </w:r>
            <w:r>
              <w:rPr>
                <w:rFonts w:cstheme="minorHAnsi"/>
                <w:sz w:val="16"/>
                <w:szCs w:val="16"/>
              </w:rPr>
              <w:t>ática</w:t>
            </w:r>
          </w:p>
          <w:p w:rsidR="00D25A37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Ingeniería en Gestión de tecnologías de informaci</w:t>
            </w:r>
            <w:r>
              <w:rPr>
                <w:rFonts w:cstheme="minorHAnsi"/>
                <w:sz w:val="16"/>
                <w:szCs w:val="16"/>
              </w:rPr>
              <w:t>ón</w:t>
            </w:r>
          </w:p>
          <w:p w:rsidR="00182BB8" w:rsidRPr="00154EA5" w:rsidRDefault="00D25A37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25A37">
              <w:rPr>
                <w:rFonts w:cstheme="minorHAnsi"/>
                <w:sz w:val="16"/>
                <w:szCs w:val="16"/>
              </w:rPr>
              <w:t>Analista programador Computacional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25A37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POO3501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5416EE" w:rsidP="005416E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Herencia</w:t>
            </w: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F96271" w:rsidP="00C8508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6271">
              <w:rPr>
                <w:b/>
                <w:bCs/>
                <w:sz w:val="20"/>
                <w:szCs w:val="20"/>
              </w:rPr>
              <w:t>HerenciaTeleCell</w:t>
            </w:r>
            <w:proofErr w:type="spellEnd"/>
          </w:p>
        </w:tc>
      </w:tr>
      <w:tr w:rsidR="003C506A" w:rsidRPr="00B52147" w:rsidTr="00D25A37">
        <w:trPr>
          <w:trHeight w:val="70"/>
        </w:trPr>
        <w:tc>
          <w:tcPr>
            <w:tcW w:w="9039" w:type="dxa"/>
            <w:shd w:val="clear" w:color="auto" w:fill="auto"/>
          </w:tcPr>
          <w:p w:rsidR="00CF6E35" w:rsidRDefault="00BF17CB" w:rsidP="00F96271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Integrar </w:t>
            </w:r>
            <w:r w:rsidR="005416EE">
              <w:rPr>
                <w:rFonts w:cstheme="minorHAnsi"/>
                <w:b/>
                <w:sz w:val="20"/>
                <w:szCs w:val="20"/>
              </w:rPr>
              <w:t>Herencia</w:t>
            </w:r>
            <w:r>
              <w:rPr>
                <w:rFonts w:cstheme="minorHAnsi"/>
                <w:b/>
                <w:sz w:val="20"/>
                <w:szCs w:val="20"/>
              </w:rPr>
              <w:t xml:space="preserve"> a </w:t>
            </w:r>
            <w:r w:rsidR="00CF6E35">
              <w:rPr>
                <w:rFonts w:cstheme="minorHAnsi"/>
                <w:b/>
                <w:sz w:val="20"/>
                <w:szCs w:val="20"/>
              </w:rPr>
              <w:t>Biblioteca de Clases</w:t>
            </w:r>
            <w:r>
              <w:rPr>
                <w:rFonts w:cstheme="minorHAnsi"/>
                <w:b/>
                <w:sz w:val="20"/>
                <w:szCs w:val="20"/>
              </w:rPr>
              <w:t xml:space="preserve"> e interactuar con cliente WPF.</w:t>
            </w:r>
          </w:p>
          <w:p w:rsidR="00BF17CB" w:rsidRPr="005F7595" w:rsidRDefault="00BF17CB" w:rsidP="00F96271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  <w:p w:rsidR="005416EE" w:rsidRDefault="005416EE" w:rsidP="00F96271">
            <w:pPr>
              <w:jc w:val="both"/>
            </w:pPr>
            <w:r>
              <w:t xml:space="preserve">La empresa de telecomunicaciones </w:t>
            </w:r>
            <w:proofErr w:type="spellStart"/>
            <w:r>
              <w:t>TeleCell</w:t>
            </w:r>
            <w:proofErr w:type="spellEnd"/>
            <w:r>
              <w:t>, ha dispuesto de una librería de clases que contiene la definición básica de un contrato de telefonía móvil. Cada contrato base considera: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0"/>
              </w:numPr>
              <w:spacing w:after="160" w:line="360" w:lineRule="auto"/>
              <w:jc w:val="both"/>
            </w:pPr>
            <w:r>
              <w:t>Número telefónico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0"/>
              </w:numPr>
              <w:spacing w:after="160" w:line="360" w:lineRule="auto"/>
              <w:jc w:val="both"/>
            </w:pPr>
            <w:r>
              <w:t>Fecha de Contrato</w:t>
            </w:r>
            <w:bookmarkStart w:id="0" w:name="_GoBack"/>
            <w:bookmarkEnd w:id="0"/>
          </w:p>
          <w:p w:rsidR="005416EE" w:rsidRDefault="005416EE" w:rsidP="00F96271">
            <w:pPr>
              <w:pStyle w:val="Prrafodelista"/>
              <w:numPr>
                <w:ilvl w:val="0"/>
                <w:numId w:val="20"/>
              </w:numPr>
              <w:spacing w:after="160" w:line="360" w:lineRule="auto"/>
              <w:jc w:val="both"/>
            </w:pPr>
            <w:r>
              <w:t>Nombre del titular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0"/>
              </w:numPr>
              <w:spacing w:after="160" w:line="360" w:lineRule="auto"/>
              <w:jc w:val="both"/>
            </w:pPr>
            <w:r>
              <w:t>Indicador si el cliente provee su equipo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0"/>
              </w:numPr>
              <w:spacing w:after="160" w:line="360" w:lineRule="auto"/>
              <w:jc w:val="both"/>
            </w:pPr>
            <w:r>
              <w:t xml:space="preserve">Tipo de contrato que puede ser </w:t>
            </w:r>
            <w:proofErr w:type="spellStart"/>
            <w:r>
              <w:t>PostPago</w:t>
            </w:r>
            <w:proofErr w:type="spellEnd"/>
            <w:r>
              <w:t xml:space="preserve"> y Prepago.</w:t>
            </w:r>
          </w:p>
          <w:p w:rsidR="005416EE" w:rsidRDefault="005416EE" w:rsidP="00F96271">
            <w:pPr>
              <w:pStyle w:val="Prrafodelista"/>
              <w:jc w:val="both"/>
            </w:pPr>
          </w:p>
          <w:p w:rsidR="005416EE" w:rsidRDefault="005416EE" w:rsidP="00F96271">
            <w:pPr>
              <w:jc w:val="both"/>
            </w:pPr>
            <w:r>
              <w:t>Para poder realizar la construcción de la solución, deberá considerar los siguientes requerimientos, para extender la librería y construir la aplicación WPF que permita el registro de los contratos: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</w:pPr>
            <w:r>
              <w:t xml:space="preserve">Los planes de </w:t>
            </w:r>
            <w:proofErr w:type="spellStart"/>
            <w:r>
              <w:t>PrePago</w:t>
            </w:r>
            <w:proofErr w:type="spellEnd"/>
            <w:r>
              <w:t xml:space="preserve"> disponibles son: </w:t>
            </w:r>
            <w:proofErr w:type="spellStart"/>
            <w:r>
              <w:t>MultimediaSocial</w:t>
            </w:r>
            <w:proofErr w:type="spellEnd"/>
            <w:r>
              <w:t xml:space="preserve">, </w:t>
            </w:r>
            <w:proofErr w:type="spellStart"/>
            <w:r>
              <w:t>MultimediaFull</w:t>
            </w:r>
            <w:proofErr w:type="spellEnd"/>
            <w:r>
              <w:t xml:space="preserve"> y </w:t>
            </w:r>
            <w:proofErr w:type="spellStart"/>
            <w:r>
              <w:t>MultimediaLTE</w:t>
            </w:r>
            <w:proofErr w:type="spellEnd"/>
            <w:r>
              <w:t>.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</w:pPr>
            <w:r>
              <w:t xml:space="preserve">Los planes de </w:t>
            </w:r>
            <w:proofErr w:type="spellStart"/>
            <w:r>
              <w:t>PrePago</w:t>
            </w:r>
            <w:proofErr w:type="spellEnd"/>
            <w:r>
              <w:t xml:space="preserve"> disponibles son: </w:t>
            </w:r>
            <w:proofErr w:type="spellStart"/>
            <w:r>
              <w:t>MovilSocial</w:t>
            </w:r>
            <w:proofErr w:type="spellEnd"/>
            <w:r>
              <w:t xml:space="preserve"> y </w:t>
            </w:r>
            <w:proofErr w:type="spellStart"/>
            <w:r>
              <w:t>MovilInternet</w:t>
            </w:r>
            <w:proofErr w:type="spellEnd"/>
            <w:r>
              <w:t>.</w:t>
            </w:r>
          </w:p>
          <w:p w:rsidR="005416EE" w:rsidRDefault="005416EE" w:rsidP="00F96271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</w:pPr>
            <w:r>
              <w:t xml:space="preserve">Todos los contratos tienen un valor base, el cual se verá afectado en el caso de los planes </w:t>
            </w:r>
            <w:proofErr w:type="spellStart"/>
            <w:r>
              <w:t>PostPago</w:t>
            </w:r>
            <w:proofErr w:type="spellEnd"/>
            <w:r>
              <w:t>, acorde a la siguiente tabla:</w:t>
            </w:r>
          </w:p>
          <w:p w:rsidR="005416EE" w:rsidRDefault="005416EE" w:rsidP="00F96271">
            <w:pPr>
              <w:pStyle w:val="Prrafodelista"/>
              <w:spacing w:after="160" w:line="360" w:lineRule="auto"/>
              <w:jc w:val="both"/>
            </w:pPr>
          </w:p>
          <w:p w:rsidR="005416EE" w:rsidRDefault="005416EE" w:rsidP="00F96271">
            <w:pPr>
              <w:pStyle w:val="Prrafodelista"/>
              <w:spacing w:line="360" w:lineRule="auto"/>
              <w:jc w:val="both"/>
            </w:pPr>
            <w:r w:rsidRPr="00F316AA">
              <w:rPr>
                <w:noProof/>
                <w:lang w:eastAsia="es-CL"/>
              </w:rPr>
              <w:drawing>
                <wp:inline distT="0" distB="0" distL="0" distR="0" wp14:anchorId="0F9EF81E" wp14:editId="60A14C9F">
                  <wp:extent cx="2705767" cy="6096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712" cy="61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6EE" w:rsidRDefault="005416EE" w:rsidP="00F96271">
            <w:pPr>
              <w:pStyle w:val="Prrafodelista"/>
              <w:spacing w:line="360" w:lineRule="auto"/>
              <w:jc w:val="both"/>
            </w:pPr>
          </w:p>
          <w:p w:rsidR="005416EE" w:rsidRDefault="005416EE" w:rsidP="00F96271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</w:pPr>
            <w:r>
              <w:lastRenderedPageBreak/>
              <w:t xml:space="preserve">Los contratos de </w:t>
            </w:r>
            <w:proofErr w:type="spellStart"/>
            <w:r>
              <w:t>PostPago</w:t>
            </w:r>
            <w:proofErr w:type="spellEnd"/>
            <w:r>
              <w:t>, deben informar los siguientes valores:</w:t>
            </w:r>
          </w:p>
          <w:p w:rsidR="005416EE" w:rsidRDefault="005416EE" w:rsidP="00F96271">
            <w:pPr>
              <w:pStyle w:val="Prrafodelista"/>
              <w:spacing w:line="360" w:lineRule="auto"/>
              <w:jc w:val="both"/>
            </w:pPr>
            <w:r w:rsidRPr="00F316AA">
              <w:rPr>
                <w:noProof/>
                <w:lang w:eastAsia="es-CL"/>
              </w:rPr>
              <w:drawing>
                <wp:inline distT="0" distB="0" distL="0" distR="0" wp14:anchorId="270552AB" wp14:editId="12413AF9">
                  <wp:extent cx="3803903" cy="950976"/>
                  <wp:effectExtent l="0" t="0" r="635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65" cy="95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6EE" w:rsidRDefault="005416EE" w:rsidP="00F96271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</w:pPr>
            <w:r>
              <w:t xml:space="preserve">Los contratos de </w:t>
            </w:r>
            <w:proofErr w:type="spellStart"/>
            <w:r>
              <w:t>PrePago</w:t>
            </w:r>
            <w:proofErr w:type="spellEnd"/>
            <w:r>
              <w:t>, deben informar los siguientes valores:</w:t>
            </w:r>
          </w:p>
          <w:p w:rsidR="005416EE" w:rsidRDefault="005416EE" w:rsidP="00F96271">
            <w:pPr>
              <w:pStyle w:val="Prrafodelista"/>
              <w:spacing w:line="360" w:lineRule="auto"/>
              <w:jc w:val="both"/>
            </w:pPr>
            <w:r w:rsidRPr="00F316AA">
              <w:rPr>
                <w:noProof/>
                <w:lang w:eastAsia="es-CL"/>
              </w:rPr>
              <w:drawing>
                <wp:inline distT="0" distB="0" distL="0" distR="0" wp14:anchorId="6B80158E" wp14:editId="2BC7E425">
                  <wp:extent cx="3181794" cy="657317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6EE" w:rsidRDefault="005416EE" w:rsidP="00F96271">
            <w:pPr>
              <w:pStyle w:val="Prrafodelista"/>
              <w:numPr>
                <w:ilvl w:val="0"/>
                <w:numId w:val="21"/>
              </w:numPr>
              <w:spacing w:after="160" w:line="360" w:lineRule="auto"/>
              <w:jc w:val="both"/>
            </w:pPr>
            <w:r>
              <w:t>A medida que se selecciona el Contrato y el Plan, se deben informar los valores de las tablas y el Precio del Plan a contratar.</w:t>
            </w:r>
          </w:p>
          <w:p w:rsidR="00066799" w:rsidRPr="00182BB8" w:rsidRDefault="00066799" w:rsidP="005416EE">
            <w:pPr>
              <w:spacing w:line="360" w:lineRule="auto"/>
              <w:ind w:left="360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11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A25" w:rsidRDefault="00495A25" w:rsidP="00E408C3">
      <w:pPr>
        <w:spacing w:after="0" w:line="240" w:lineRule="auto"/>
      </w:pPr>
      <w:r>
        <w:separator/>
      </w:r>
    </w:p>
  </w:endnote>
  <w:endnote w:type="continuationSeparator" w:id="0">
    <w:p w:rsidR="00495A25" w:rsidRDefault="00495A25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A25" w:rsidRDefault="00495A25" w:rsidP="00E408C3">
      <w:pPr>
        <w:spacing w:after="0" w:line="240" w:lineRule="auto"/>
      </w:pPr>
      <w:r>
        <w:separator/>
      </w:r>
    </w:p>
  </w:footnote>
  <w:footnote w:type="continuationSeparator" w:id="0">
    <w:p w:rsidR="00495A25" w:rsidRDefault="00495A25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0C0A"/>
    <w:multiLevelType w:val="hybridMultilevel"/>
    <w:tmpl w:val="500C64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31A2"/>
    <w:multiLevelType w:val="hybridMultilevel"/>
    <w:tmpl w:val="95DEEEC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0FE30B1"/>
    <w:multiLevelType w:val="hybridMultilevel"/>
    <w:tmpl w:val="C4E07C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7311B"/>
    <w:multiLevelType w:val="hybridMultilevel"/>
    <w:tmpl w:val="155C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6248C"/>
    <w:multiLevelType w:val="hybridMultilevel"/>
    <w:tmpl w:val="187C9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F2778"/>
    <w:multiLevelType w:val="hybridMultilevel"/>
    <w:tmpl w:val="27E6046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16"/>
  </w:num>
  <w:num w:numId="9">
    <w:abstractNumId w:val="2"/>
  </w:num>
  <w:num w:numId="10">
    <w:abstractNumId w:val="3"/>
  </w:num>
  <w:num w:numId="11">
    <w:abstractNumId w:val="9"/>
  </w:num>
  <w:num w:numId="12">
    <w:abstractNumId w:val="12"/>
  </w:num>
  <w:num w:numId="13">
    <w:abstractNumId w:val="18"/>
  </w:num>
  <w:num w:numId="14">
    <w:abstractNumId w:val="8"/>
  </w:num>
  <w:num w:numId="15">
    <w:abstractNumId w:val="20"/>
  </w:num>
  <w:num w:numId="16">
    <w:abstractNumId w:val="4"/>
  </w:num>
  <w:num w:numId="17">
    <w:abstractNumId w:val="14"/>
  </w:num>
  <w:num w:numId="18">
    <w:abstractNumId w:val="15"/>
  </w:num>
  <w:num w:numId="19">
    <w:abstractNumId w:val="0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3C7D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05E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14CB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1D20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85AF5"/>
    <w:rsid w:val="00495A25"/>
    <w:rsid w:val="004A62AD"/>
    <w:rsid w:val="004B0564"/>
    <w:rsid w:val="004B4F7F"/>
    <w:rsid w:val="004F222C"/>
    <w:rsid w:val="00505E06"/>
    <w:rsid w:val="005160E8"/>
    <w:rsid w:val="00521EF3"/>
    <w:rsid w:val="00535B25"/>
    <w:rsid w:val="005416EE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B76BD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313A9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10928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1C68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336F9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1810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4C4C"/>
    <w:rsid w:val="00B96A10"/>
    <w:rsid w:val="00B9750A"/>
    <w:rsid w:val="00BA15E6"/>
    <w:rsid w:val="00BB6384"/>
    <w:rsid w:val="00BE1B7C"/>
    <w:rsid w:val="00BF17CB"/>
    <w:rsid w:val="00BF227D"/>
    <w:rsid w:val="00C00E9C"/>
    <w:rsid w:val="00C1338E"/>
    <w:rsid w:val="00C13B3C"/>
    <w:rsid w:val="00C352AE"/>
    <w:rsid w:val="00C459BD"/>
    <w:rsid w:val="00C566E7"/>
    <w:rsid w:val="00C578AF"/>
    <w:rsid w:val="00C8358D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CF6E35"/>
    <w:rsid w:val="00D2094B"/>
    <w:rsid w:val="00D25A37"/>
    <w:rsid w:val="00D36B63"/>
    <w:rsid w:val="00D36DC4"/>
    <w:rsid w:val="00D40934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E07085"/>
    <w:rsid w:val="00E1422B"/>
    <w:rsid w:val="00E27699"/>
    <w:rsid w:val="00E408C3"/>
    <w:rsid w:val="00E42072"/>
    <w:rsid w:val="00E53306"/>
    <w:rsid w:val="00E670EC"/>
    <w:rsid w:val="00E704C2"/>
    <w:rsid w:val="00E72C81"/>
    <w:rsid w:val="00E805E6"/>
    <w:rsid w:val="00E8401B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271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F17CB"/>
    <w:pPr>
      <w:keepNext/>
      <w:keepLines/>
      <w:spacing w:before="240" w:after="0" w:line="259" w:lineRule="auto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customStyle="1" w:styleId="DUOCTitulo1">
    <w:name w:val="DUOC Titulo 1"/>
    <w:basedOn w:val="Normal"/>
    <w:link w:val="DUOCTitulo1Char"/>
    <w:qFormat/>
    <w:rsid w:val="00D25A37"/>
    <w:pPr>
      <w:spacing w:after="0"/>
    </w:pPr>
    <w:rPr>
      <w:rFonts w:asciiTheme="minorHAnsi" w:eastAsiaTheme="minorHAnsi" w:hAnsiTheme="minorHAnsi" w:cstheme="minorBidi"/>
      <w:b/>
      <w:sz w:val="28"/>
      <w:szCs w:val="28"/>
    </w:rPr>
  </w:style>
  <w:style w:type="character" w:customStyle="1" w:styleId="DUOCTitulo1Char">
    <w:name w:val="DUOC Titulo 1 Char"/>
    <w:basedOn w:val="Fuentedeprrafopredeter"/>
    <w:link w:val="DUOCTitulo1"/>
    <w:rsid w:val="00D25A37"/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BF17CB"/>
    <w:rPr>
      <w:rFonts w:asciiTheme="minorHAnsi" w:eastAsiaTheme="majorEastAsia" w:hAnsiTheme="minorHAnsi" w:cstheme="majorBidi"/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E0C35-76D5-46AD-BF4E-181AD45D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25</cp:revision>
  <dcterms:created xsi:type="dcterms:W3CDTF">2015-04-12T20:34:00Z</dcterms:created>
  <dcterms:modified xsi:type="dcterms:W3CDTF">2015-12-23T13:00:00Z</dcterms:modified>
</cp:coreProperties>
</file>