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p>
    <w:p>
      <w:pPr>
        <w:spacing w:after="60" w:before="0"/>
        <w:jc w:val="center"/>
      </w:pPr>
      <w:r>
        <w:rPr>
          <w:rFonts w:ascii="Arial" w:cs="Arial" w:eastAsia="Arial" w:hAnsi="Arial"/>
          <w:color w:val="777777"/>
          <w:sz w:val="28"/>
          <w:szCs w:val="28"/>
        </w:rPr>
        <w:t xml:space="preserve">BTS SIO – Option SISR</w:t>
      </w:r>
    </w:p>
    <w:p>
      <w:pPr>
        <w:spacing w:after="20" w:before="20"/>
        <w:jc w:val="center"/>
      </w:pPr>
      <w:r>
        <w:rPr>
          <w:rFonts w:ascii="Arial" w:cs="Arial" w:eastAsia="Arial" w:hAnsi="Arial"/>
          <w:i/>
          <w:iCs/>
          <w:color w:val="777777"/>
          <w:sz w:val="28"/>
          <w:szCs w:val="28"/>
        </w:rPr>
        <w:t xml:space="preserve">Épreuve E5 – Compte rendu d'activité</w:t>
      </w:r>
    </w:p>
    <w:p>
      <w:pPr>
        <w:spacing w:after="0" w:before="200"/>
      </w:pPr>
    </w:p>
    <w:p>
      <w:pPr>
        <w:spacing w:after="20" w:before="0"/>
        <w:jc w:val="center"/>
      </w:pPr>
      <w:r>
        <w:rPr>
          <w:rFonts w:ascii="Arial" w:cs="Arial" w:eastAsia="Arial" w:hAnsi="Arial"/>
          <w:b/>
          <w:bCs/>
          <w:color w:val="BF5700"/>
          <w:sz w:val="72"/>
          <w:szCs w:val="72"/>
        </w:rPr>
        <w:t xml:space="preserve">Projet 3</w:t>
      </w:r>
    </w:p>
    <w:p>
      <w:pPr>
        <w:pBdr>
          <w:bottom w:val="single" w:color="BF5700" w:sz="12" w:space="10"/>
        </w:pBdr>
        <w:spacing w:after="20" w:before="10"/>
        <w:jc w:val="center"/>
      </w:pPr>
      <w:r>
        <w:rPr>
          <w:rFonts w:ascii="Arial" w:cs="Arial" w:eastAsia="Arial" w:hAnsi="Arial"/>
          <w:b/>
          <w:bCs/>
          <w:color w:val="D4700A"/>
          <w:sz w:val="36"/>
          <w:szCs w:val="36"/>
        </w:rPr>
        <w:t xml:space="preserve">Infrastructure du système de carte de fidélité</w:t>
      </w:r>
    </w:p>
    <w:p>
      <w:pPr>
        <w:spacing w:after="0" w:before="5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FAE5CC" w:val="clear"/>
            <w:tcMar>
              <w:top w:type="dxa" w:w="120"/>
              <w:left w:type="dxa" w:w="160"/>
              <w:bottom w:type="dxa" w:w="120"/>
              <w:right w:type="dxa" w:w="160"/>
            </w:tcMar>
          </w:tcPr>
          <w:p>
            <w:r>
              <w:rPr>
                <w:rFonts w:ascii="Arial" w:cs="Arial" w:eastAsia="Arial" w:hAnsi="Arial"/>
                <w:b/>
                <w:bCs/>
                <w:sz w:val="22"/>
                <w:szCs w:val="22"/>
              </w:rPr>
              <w:t xml:space="preserve">Candidat</w:t>
            </w:r>
          </w:p>
        </w:tc>
        <w:tc>
          <w:tcPr>
            <w:tcW w:type="dxa" w:w="5826"/>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Soulayman Taoufiqui</w:t>
            </w:r>
          </w:p>
        </w:tc>
      </w:tr>
      <w:tr>
        <w:tc>
          <w:tcPr>
            <w:tcW w:type="dxa" w:w="3200"/>
            <w:tcBorders>
              <w:top w:val="single" w:color="CCCCCC" w:sz="1"/>
              <w:left w:val="single" w:color="CCCCCC" w:sz="1"/>
              <w:bottom w:val="single" w:color="CCCCCC" w:sz="1"/>
              <w:right w:val="single" w:color="CCCCCC" w:sz="1"/>
            </w:tcBorders>
            <w:shd w:fill="FAE5CC" w:val="clear"/>
            <w:tcMar>
              <w:top w:type="dxa" w:w="120"/>
              <w:left w:type="dxa" w:w="160"/>
              <w:bottom w:type="dxa" w:w="120"/>
              <w:right w:type="dxa" w:w="160"/>
            </w:tcMar>
          </w:tcPr>
          <w:p>
            <w:r>
              <w:rPr>
                <w:rFonts w:ascii="Arial" w:cs="Arial" w:eastAsia="Arial" w:hAnsi="Arial"/>
                <w:b/>
                <w:bCs/>
                <w:sz w:val="22"/>
                <w:szCs w:val="22"/>
              </w:rPr>
              <w:t xml:space="preserve">Entreprise</w:t>
            </w:r>
          </w:p>
        </w:tc>
        <w:tc>
          <w:tcPr>
            <w:tcW w:type="dxa" w:w="5826"/>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Maxi Market (m-market.fr)</w:t>
            </w:r>
          </w:p>
        </w:tc>
      </w:tr>
      <w:tr>
        <w:tc>
          <w:tcPr>
            <w:tcW w:type="dxa" w:w="3200"/>
            <w:tcBorders>
              <w:top w:val="single" w:color="CCCCCC" w:sz="1"/>
              <w:left w:val="single" w:color="CCCCCC" w:sz="1"/>
              <w:bottom w:val="single" w:color="CCCCCC" w:sz="1"/>
              <w:right w:val="single" w:color="CCCCCC" w:sz="1"/>
            </w:tcBorders>
            <w:shd w:fill="FAE5CC" w:val="clear"/>
            <w:tcMar>
              <w:top w:type="dxa" w:w="120"/>
              <w:left w:type="dxa" w:w="160"/>
              <w:bottom w:type="dxa" w:w="120"/>
              <w:right w:type="dxa" w:w="160"/>
            </w:tcMar>
          </w:tcPr>
          <w:p>
            <w:r>
              <w:rPr>
                <w:rFonts w:ascii="Arial" w:cs="Arial" w:eastAsia="Arial" w:hAnsi="Arial"/>
                <w:b/>
                <w:bCs/>
                <w:sz w:val="22"/>
                <w:szCs w:val="22"/>
              </w:rPr>
              <w:t xml:space="preserve">Poste occupé</w:t>
            </w:r>
          </w:p>
        </w:tc>
        <w:tc>
          <w:tcPr>
            <w:tcW w:type="dxa" w:w="5826"/>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Technicien Réseaux et Systèmes</w:t>
            </w:r>
          </w:p>
        </w:tc>
      </w:tr>
      <w:tr>
        <w:tc>
          <w:tcPr>
            <w:tcW w:type="dxa" w:w="3200"/>
            <w:tcBorders>
              <w:top w:val="single" w:color="CCCCCC" w:sz="1"/>
              <w:left w:val="single" w:color="CCCCCC" w:sz="1"/>
              <w:bottom w:val="single" w:color="CCCCCC" w:sz="1"/>
              <w:right w:val="single" w:color="CCCCCC" w:sz="1"/>
            </w:tcBorders>
            <w:shd w:fill="FAE5CC" w:val="clear"/>
            <w:tcMar>
              <w:top w:type="dxa" w:w="120"/>
              <w:left w:type="dxa" w:w="160"/>
              <w:bottom w:type="dxa" w:w="120"/>
              <w:right w:type="dxa" w:w="160"/>
            </w:tcMar>
          </w:tcPr>
          <w:p>
            <w:r>
              <w:rPr>
                <w:rFonts w:ascii="Arial" w:cs="Arial" w:eastAsia="Arial" w:hAnsi="Arial"/>
                <w:b/>
                <w:bCs/>
                <w:sz w:val="22"/>
                <w:szCs w:val="22"/>
              </w:rPr>
              <w:t xml:space="preserve">Formation</w:t>
            </w:r>
          </w:p>
        </w:tc>
        <w:tc>
          <w:tcPr>
            <w:tcW w:type="dxa" w:w="5826"/>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BTS SIO – Option SISR (Alternance)</w:t>
            </w:r>
          </w:p>
        </w:tc>
      </w:tr>
      <w:tr>
        <w:tc>
          <w:tcPr>
            <w:tcW w:type="dxa" w:w="3200"/>
            <w:tcBorders>
              <w:top w:val="single" w:color="CCCCCC" w:sz="1"/>
              <w:left w:val="single" w:color="CCCCCC" w:sz="1"/>
              <w:bottom w:val="single" w:color="CCCCCC" w:sz="1"/>
              <w:right w:val="single" w:color="CCCCCC" w:sz="1"/>
            </w:tcBorders>
            <w:shd w:fill="FAE5CC" w:val="clear"/>
            <w:tcMar>
              <w:top w:type="dxa" w:w="120"/>
              <w:left w:type="dxa" w:w="160"/>
              <w:bottom w:type="dxa" w:w="120"/>
              <w:right w:type="dxa" w:w="160"/>
            </w:tcMar>
          </w:tcPr>
          <w:p>
            <w:r>
              <w:rPr>
                <w:rFonts w:ascii="Arial" w:cs="Arial" w:eastAsia="Arial" w:hAnsi="Arial"/>
                <w:b/>
                <w:bCs/>
                <w:sz w:val="22"/>
                <w:szCs w:val="22"/>
              </w:rPr>
              <w:t xml:space="preserve">Année scolaire</w:t>
            </w:r>
          </w:p>
        </w:tc>
        <w:tc>
          <w:tcPr>
            <w:tcW w:type="dxa" w:w="5826"/>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2025 – 2026</w:t>
            </w:r>
          </w:p>
        </w:tc>
      </w:tr>
    </w:tbl>
    <w:p>
      <w:r>
        <w:br w:type="page"/>
      </w:r>
    </w:p>
    <w:p>
      <w:pPr>
        <w:spacing w:after="200" w:before="300"/>
        <w:jc w:val="center"/>
      </w:pPr>
      <w:r>
        <w:rPr>
          <w:rFonts w:ascii="Arial" w:cs="Arial" w:eastAsia="Arial" w:hAnsi="Arial"/>
          <w:b/>
          <w:bCs/>
          <w:color w:val="BF5700"/>
          <w:sz w:val="34"/>
          <w:szCs w:val="34"/>
        </w:rPr>
        <w:t xml:space="preserve">Sommaire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single" w:color="EEEEEE" w:sz="1"/>
              <w:right w:val="none"/>
            </w:tcBorders>
            <w:tcMar>
              <w:top w:type="dxa" w:w="80"/>
              <w:left w:type="dxa" w:w="100"/>
              <w:bottom w:type="dxa" w:w="80"/>
              <w:right w:type="dxa" w:w="100"/>
            </w:tcMar>
          </w:tcPr>
          <w:p>
            <w:r>
              <w:rPr>
                <w:rFonts w:ascii="Arial" w:cs="Arial" w:eastAsia="Arial" w:hAnsi="Arial"/>
                <w:b/>
                <w:bCs/>
                <w:color w:val="BF5700"/>
                <w:sz w:val="22"/>
                <w:szCs w:val="22"/>
              </w:rPr>
              <w:t xml:space="preserve">1.  </w:t>
            </w:r>
            <w:r>
              <w:rPr>
                <w:rFonts w:ascii="Arial" w:cs="Arial" w:eastAsia="Arial" w:hAnsi="Arial"/>
                <w:b/>
                <w:bCs/>
                <w:sz w:val="22"/>
                <w:szCs w:val="22"/>
              </w:rPr>
              <w:t xml:space="preserve">Présentation du projet</w:t>
            </w:r>
          </w:p>
        </w:tc>
      </w:tr>
      <w:tr>
        <w:tc>
          <w:tcPr>
            <w:tcBorders>
              <w:top w:val="none"/>
              <w:left w:val="none"/>
              <w:bottom w:val="single" w:color="EEEEEE" w:sz="1"/>
              <w:right w:val="none"/>
            </w:tcBorders>
            <w:tcMar>
              <w:top w:type="dxa" w:w="80"/>
              <w:left w:type="dxa" w:w="100"/>
              <w:bottom w:type="dxa" w:w="80"/>
              <w:right w:type="dxa" w:w="100"/>
            </w:tcMar>
          </w:tcPr>
          <w:p>
            <w:r>
              <w:rPr>
                <w:rFonts w:ascii="Arial" w:cs="Arial" w:eastAsia="Arial" w:hAnsi="Arial"/>
                <w:b w:val="false"/>
                <w:bCs w:val="false"/>
                <w:color w:val="BF5700"/>
                <w:sz w:val="22"/>
                <w:szCs w:val="22"/>
              </w:rPr>
              <w:t xml:space="preserve">1.1  </w:t>
            </w:r>
            <w:r>
              <w:rPr>
                <w:rFonts w:ascii="Arial" w:cs="Arial" w:eastAsia="Arial" w:hAnsi="Arial"/>
                <w:b w:val="false"/>
                <w:bCs w:val="false"/>
                <w:sz w:val="22"/>
                <w:szCs w:val="22"/>
              </w:rPr>
              <w:t xml:space="preserve">Contexte et enjeux</w:t>
            </w:r>
          </w:p>
        </w:tc>
      </w:tr>
      <w:tr>
        <w:tc>
          <w:tcPr>
            <w:tcBorders>
              <w:top w:val="none"/>
              <w:left w:val="none"/>
              <w:bottom w:val="single" w:color="EEEEEE" w:sz="1"/>
              <w:right w:val="none"/>
            </w:tcBorders>
            <w:tcMar>
              <w:top w:type="dxa" w:w="80"/>
              <w:left w:type="dxa" w:w="100"/>
              <w:bottom w:type="dxa" w:w="80"/>
              <w:right w:type="dxa" w:w="100"/>
            </w:tcMar>
          </w:tcPr>
          <w:p>
            <w:r>
              <w:rPr>
                <w:rFonts w:ascii="Arial" w:cs="Arial" w:eastAsia="Arial" w:hAnsi="Arial"/>
                <w:b w:val="false"/>
                <w:bCs w:val="false"/>
                <w:color w:val="BF5700"/>
                <w:sz w:val="22"/>
                <w:szCs w:val="22"/>
              </w:rPr>
              <w:t xml:space="preserve">1.2  </w:t>
            </w:r>
            <w:r>
              <w:rPr>
                <w:rFonts w:ascii="Arial" w:cs="Arial" w:eastAsia="Arial" w:hAnsi="Arial"/>
                <w:b w:val="false"/>
                <w:bCs w:val="false"/>
                <w:sz w:val="22"/>
                <w:szCs w:val="22"/>
              </w:rPr>
              <w:t xml:space="preserve">Objectifs de la mission</w:t>
            </w:r>
          </w:p>
        </w:tc>
      </w:tr>
      <w:tr>
        <w:tc>
          <w:tcPr>
            <w:tcBorders>
              <w:top w:val="none"/>
              <w:left w:val="none"/>
              <w:bottom w:val="single" w:color="EEEEEE" w:sz="1"/>
              <w:right w:val="none"/>
            </w:tcBorders>
            <w:tcMar>
              <w:top w:type="dxa" w:w="80"/>
              <w:left w:type="dxa" w:w="100"/>
              <w:bottom w:type="dxa" w:w="80"/>
              <w:right w:type="dxa" w:w="100"/>
            </w:tcMar>
          </w:tcPr>
          <w:p>
            <w:r>
              <w:rPr>
                <w:rFonts w:ascii="Arial" w:cs="Arial" w:eastAsia="Arial" w:hAnsi="Arial"/>
                <w:b w:val="false"/>
                <w:bCs w:val="false"/>
                <w:color w:val="BF5700"/>
                <w:sz w:val="22"/>
                <w:szCs w:val="22"/>
              </w:rPr>
              <w:t xml:space="preserve">1.3  </w:t>
            </w:r>
            <w:r>
              <w:rPr>
                <w:rFonts w:ascii="Arial" w:cs="Arial" w:eastAsia="Arial" w:hAnsi="Arial"/>
                <w:b w:val="false"/>
                <w:bCs w:val="false"/>
                <w:sz w:val="22"/>
                <w:szCs w:val="22"/>
              </w:rPr>
              <w:t xml:space="preserve">Architecture générale du système</w:t>
            </w:r>
          </w:p>
        </w:tc>
      </w:tr>
      <w:tr>
        <w:tc>
          <w:tcPr>
            <w:tcBorders>
              <w:top w:val="none"/>
              <w:left w:val="none"/>
              <w:bottom w:val="single" w:color="EEEEEE" w:sz="1"/>
              <w:right w:val="none"/>
            </w:tcBorders>
            <w:tcMar>
              <w:top w:type="dxa" w:w="80"/>
              <w:left w:type="dxa" w:w="100"/>
              <w:bottom w:type="dxa" w:w="80"/>
              <w:right w:type="dxa" w:w="100"/>
            </w:tcMar>
          </w:tcPr>
          <w:p>
            <w:r>
              <w:rPr>
                <w:rFonts w:ascii="Arial" w:cs="Arial" w:eastAsia="Arial" w:hAnsi="Arial"/>
                <w:b/>
                <w:bCs/>
                <w:color w:val="BF5700"/>
                <w:sz w:val="22"/>
                <w:szCs w:val="22"/>
              </w:rPr>
              <w:t xml:space="preserve">2.  </w:t>
            </w:r>
            <w:r>
              <w:rPr>
                <w:rFonts w:ascii="Arial" w:cs="Arial" w:eastAsia="Arial" w:hAnsi="Arial"/>
                <w:b/>
                <w:bCs/>
                <w:sz w:val="22"/>
                <w:szCs w:val="22"/>
              </w:rPr>
              <w:t xml:space="preserve">Explication détaillée</w:t>
            </w:r>
          </w:p>
        </w:tc>
      </w:tr>
      <w:tr>
        <w:tc>
          <w:tcPr>
            <w:tcBorders>
              <w:top w:val="none"/>
              <w:left w:val="none"/>
              <w:bottom w:val="single" w:color="EEEEEE" w:sz="1"/>
              <w:right w:val="none"/>
            </w:tcBorders>
            <w:tcMar>
              <w:top w:type="dxa" w:w="80"/>
              <w:left w:type="dxa" w:w="100"/>
              <w:bottom w:type="dxa" w:w="80"/>
              <w:right w:type="dxa" w:w="100"/>
            </w:tcMar>
          </w:tcPr>
          <w:p>
            <w:r>
              <w:rPr>
                <w:rFonts w:ascii="Arial" w:cs="Arial" w:eastAsia="Arial" w:hAnsi="Arial"/>
                <w:b w:val="false"/>
                <w:bCs w:val="false"/>
                <w:color w:val="BF5700"/>
                <w:sz w:val="22"/>
                <w:szCs w:val="22"/>
              </w:rPr>
              <w:t xml:space="preserve">2.1  </w:t>
            </w:r>
            <w:r>
              <w:rPr>
                <w:rFonts w:ascii="Arial" w:cs="Arial" w:eastAsia="Arial" w:hAnsi="Arial"/>
                <w:b w:val="false"/>
                <w:bCs w:val="false"/>
                <w:sz w:val="22"/>
                <w:szCs w:val="22"/>
              </w:rPr>
              <w:t xml:space="preserve">Architecture système</w:t>
            </w:r>
          </w:p>
        </w:tc>
      </w:tr>
      <w:tr>
        <w:tc>
          <w:tcPr>
            <w:tcBorders>
              <w:top w:val="none"/>
              <w:left w:val="none"/>
              <w:bottom w:val="single" w:color="EEEEEE" w:sz="1"/>
              <w:right w:val="none"/>
            </w:tcBorders>
            <w:tcMar>
              <w:top w:type="dxa" w:w="80"/>
              <w:left w:type="dxa" w:w="100"/>
              <w:bottom w:type="dxa" w:w="80"/>
              <w:right w:type="dxa" w:w="100"/>
            </w:tcMar>
          </w:tcPr>
          <w:p>
            <w:r>
              <w:rPr>
                <w:rFonts w:ascii="Arial" w:cs="Arial" w:eastAsia="Arial" w:hAnsi="Arial"/>
                <w:b w:val="false"/>
                <w:bCs w:val="false"/>
                <w:color w:val="BF5700"/>
                <w:sz w:val="22"/>
                <w:szCs w:val="22"/>
              </w:rPr>
              <w:t xml:space="preserve">2.2  </w:t>
            </w:r>
            <w:r>
              <w:rPr>
                <w:rFonts w:ascii="Arial" w:cs="Arial" w:eastAsia="Arial" w:hAnsi="Arial"/>
                <w:b w:val="false"/>
                <w:bCs w:val="false"/>
                <w:sz w:val="22"/>
                <w:szCs w:val="22"/>
              </w:rPr>
              <w:t xml:space="preserve">Architecture réseau et segmentation VLAN</w:t>
            </w:r>
          </w:p>
        </w:tc>
      </w:tr>
      <w:tr>
        <w:tc>
          <w:tcPr>
            <w:tcBorders>
              <w:top w:val="none"/>
              <w:left w:val="none"/>
              <w:bottom w:val="single" w:color="EEEEEE" w:sz="1"/>
              <w:right w:val="none"/>
            </w:tcBorders>
            <w:tcMar>
              <w:top w:type="dxa" w:w="80"/>
              <w:left w:type="dxa" w:w="100"/>
              <w:bottom w:type="dxa" w:w="80"/>
              <w:right w:type="dxa" w:w="100"/>
            </w:tcMar>
          </w:tcPr>
          <w:p>
            <w:r>
              <w:rPr>
                <w:rFonts w:ascii="Arial" w:cs="Arial" w:eastAsia="Arial" w:hAnsi="Arial"/>
                <w:b w:val="false"/>
                <w:bCs w:val="false"/>
                <w:color w:val="BF5700"/>
                <w:sz w:val="22"/>
                <w:szCs w:val="22"/>
              </w:rPr>
              <w:t xml:space="preserve">2.3  </w:t>
            </w:r>
            <w:r>
              <w:rPr>
                <w:rFonts w:ascii="Arial" w:cs="Arial" w:eastAsia="Arial" w:hAnsi="Arial"/>
                <w:b w:val="false"/>
                <w:bCs w:val="false"/>
                <w:sz w:val="22"/>
                <w:szCs w:val="22"/>
              </w:rPr>
              <w:t xml:space="preserve">Sécurité des communications et authentification</w:t>
            </w:r>
          </w:p>
        </w:tc>
      </w:tr>
      <w:tr>
        <w:tc>
          <w:tcPr>
            <w:tcBorders>
              <w:top w:val="none"/>
              <w:left w:val="none"/>
              <w:bottom w:val="single" w:color="EEEEEE" w:sz="1"/>
              <w:right w:val="none"/>
            </w:tcBorders>
            <w:tcMar>
              <w:top w:type="dxa" w:w="80"/>
              <w:left w:type="dxa" w:w="100"/>
              <w:bottom w:type="dxa" w:w="80"/>
              <w:right w:type="dxa" w:w="100"/>
            </w:tcMar>
          </w:tcPr>
          <w:p>
            <w:r>
              <w:rPr>
                <w:rFonts w:ascii="Arial" w:cs="Arial" w:eastAsia="Arial" w:hAnsi="Arial"/>
                <w:b w:val="false"/>
                <w:bCs w:val="false"/>
                <w:color w:val="BF5700"/>
                <w:sz w:val="22"/>
                <w:szCs w:val="22"/>
              </w:rPr>
              <w:t xml:space="preserve">2.4  </w:t>
            </w:r>
            <w:r>
              <w:rPr>
                <w:rFonts w:ascii="Arial" w:cs="Arial" w:eastAsia="Arial" w:hAnsi="Arial"/>
                <w:b w:val="false"/>
                <w:bCs w:val="false"/>
                <w:sz w:val="22"/>
                <w:szCs w:val="22"/>
              </w:rPr>
              <w:t xml:space="preserve">Protection des données et conformité RGPD</w:t>
            </w:r>
          </w:p>
        </w:tc>
      </w:tr>
      <w:tr>
        <w:tc>
          <w:tcPr>
            <w:tcBorders>
              <w:top w:val="none"/>
              <w:left w:val="none"/>
              <w:bottom w:val="single" w:color="EEEEEE" w:sz="1"/>
              <w:right w:val="none"/>
            </w:tcBorders>
            <w:tcMar>
              <w:top w:type="dxa" w:w="80"/>
              <w:left w:type="dxa" w:w="100"/>
              <w:bottom w:type="dxa" w:w="80"/>
              <w:right w:type="dxa" w:w="100"/>
            </w:tcMar>
          </w:tcPr>
          <w:p>
            <w:r>
              <w:rPr>
                <w:rFonts w:ascii="Arial" w:cs="Arial" w:eastAsia="Arial" w:hAnsi="Arial"/>
                <w:b w:val="false"/>
                <w:bCs w:val="false"/>
                <w:color w:val="BF5700"/>
                <w:sz w:val="22"/>
                <w:szCs w:val="22"/>
              </w:rPr>
              <w:t xml:space="preserve">2.5  </w:t>
            </w:r>
            <w:r>
              <w:rPr>
                <w:rFonts w:ascii="Arial" w:cs="Arial" w:eastAsia="Arial" w:hAnsi="Arial"/>
                <w:b w:val="false"/>
                <w:bCs w:val="false"/>
                <w:sz w:val="22"/>
                <w:szCs w:val="22"/>
              </w:rPr>
              <w:t xml:space="preserve">Surveillance, monitoring et haute disponibilité</w:t>
            </w:r>
          </w:p>
        </w:tc>
      </w:tr>
      <w:tr>
        <w:tc>
          <w:tcPr>
            <w:tcBorders>
              <w:top w:val="none"/>
              <w:left w:val="none"/>
              <w:bottom w:val="single" w:color="EEEEEE" w:sz="1"/>
              <w:right w:val="none"/>
            </w:tcBorders>
            <w:tcMar>
              <w:top w:type="dxa" w:w="80"/>
              <w:left w:type="dxa" w:w="100"/>
              <w:bottom w:type="dxa" w:w="80"/>
              <w:right w:type="dxa" w:w="100"/>
            </w:tcMar>
          </w:tcPr>
          <w:p>
            <w:r>
              <w:rPr>
                <w:rFonts w:ascii="Arial" w:cs="Arial" w:eastAsia="Arial" w:hAnsi="Arial"/>
                <w:b w:val="false"/>
                <w:bCs w:val="false"/>
                <w:color w:val="BF5700"/>
                <w:sz w:val="22"/>
                <w:szCs w:val="22"/>
              </w:rPr>
              <w:t xml:space="preserve">2.6  </w:t>
            </w:r>
            <w:r>
              <w:rPr>
                <w:rFonts w:ascii="Arial" w:cs="Arial" w:eastAsia="Arial" w:hAnsi="Arial"/>
                <w:b w:val="false"/>
                <w:bCs w:val="false"/>
                <w:sz w:val="22"/>
                <w:szCs w:val="22"/>
              </w:rPr>
              <w:t xml:space="preserve">Documentation et procédures d'exploitation</w:t>
            </w:r>
          </w:p>
        </w:tc>
      </w:tr>
      <w:tr>
        <w:tc>
          <w:tcPr>
            <w:tcBorders>
              <w:top w:val="none"/>
              <w:left w:val="none"/>
              <w:bottom w:val="single" w:color="EEEEEE" w:sz="1"/>
              <w:right w:val="none"/>
            </w:tcBorders>
            <w:tcMar>
              <w:top w:type="dxa" w:w="80"/>
              <w:left w:type="dxa" w:w="100"/>
              <w:bottom w:type="dxa" w:w="80"/>
              <w:right w:type="dxa" w:w="100"/>
            </w:tcMar>
          </w:tcPr>
          <w:p>
            <w:r>
              <w:rPr>
                <w:rFonts w:ascii="Arial" w:cs="Arial" w:eastAsia="Arial" w:hAnsi="Arial"/>
                <w:b/>
                <w:bCs/>
                <w:color w:val="BF5700"/>
                <w:sz w:val="22"/>
                <w:szCs w:val="22"/>
              </w:rPr>
              <w:t xml:space="preserve">3.  </w:t>
            </w:r>
            <w:r>
              <w:rPr>
                <w:rFonts w:ascii="Arial" w:cs="Arial" w:eastAsia="Arial" w:hAnsi="Arial"/>
                <w:b/>
                <w:bCs/>
                <w:sz w:val="22"/>
                <w:szCs w:val="22"/>
              </w:rPr>
              <w:t xml:space="preserve">Conclusion</w:t>
            </w:r>
          </w:p>
        </w:tc>
      </w:tr>
    </w:tbl>
    <w:p>
      <w:r>
        <w:br w:type="page"/>
      </w:r>
    </w:p>
    <w:p>
      <w:pPr>
        <w:pStyle w:val="Heading1"/>
        <w:pBdr>
          <w:bottom w:val="single" w:color="BF5700" w:sz="8" w:space="6"/>
        </w:pBdr>
        <w:spacing w:after="220" w:before="480"/>
      </w:pPr>
      <w:r>
        <w:rPr>
          <w:rFonts w:ascii="Arial" w:cs="Arial" w:eastAsia="Arial" w:hAnsi="Arial"/>
          <w:b/>
          <w:bCs/>
          <w:color w:val="BF5700"/>
          <w:sz w:val="34"/>
          <w:szCs w:val="34"/>
        </w:rPr>
        <w:t xml:space="preserve">1. Présentation du projet</w:t>
      </w:r>
    </w:p>
    <w:p>
      <w:pPr>
        <w:pStyle w:val="Heading2"/>
        <w:spacing w:after="180" w:before="360"/>
      </w:pPr>
      <w:r>
        <w:rPr>
          <w:rFonts w:ascii="Arial" w:cs="Arial" w:eastAsia="Arial" w:hAnsi="Arial"/>
          <w:b/>
          <w:bCs/>
          <w:color w:val="D4700A"/>
          <w:sz w:val="27"/>
          <w:szCs w:val="27"/>
        </w:rPr>
        <w:t xml:space="preserve">1.1 Contexte et enjeux</w:t>
      </w:r>
    </w:p>
    <w:p>
      <w:pPr>
        <w:spacing w:after="140" w:before="140" w:line="360"/>
        <w:jc w:val="both"/>
      </w:pPr>
      <w:r>
        <w:rPr>
          <w:rFonts w:ascii="Arial" w:cs="Arial" w:eastAsia="Arial" w:hAnsi="Arial"/>
          <w:sz w:val="23"/>
          <w:szCs w:val="23"/>
        </w:rPr>
        <w:t xml:space="preserve">Dans le cadre de la stratégie de transformation digitale de Maxi Market, j'ai été pleinement impliqué dans la conception et le déploiement de l'infrastructure technique qui sous-tend le nouveau programme de fidélisation de l'enseigne. Ce projet représente, sans conteste, la réalisation la plus complexe et la plus complète de mon alternance, mobilisant simultanément des compétences en administration système, architecture réseau, sécurité des systèmes d'information et conformité réglementaire.</w:t>
      </w:r>
    </w:p>
    <w:p>
      <w:pPr>
        <w:spacing w:after="140" w:before="140" w:line="360"/>
        <w:jc w:val="both"/>
      </w:pPr>
      <w:r>
        <w:rPr>
          <w:rFonts w:ascii="Arial" w:cs="Arial" w:eastAsia="Arial" w:hAnsi="Arial"/>
          <w:sz w:val="23"/>
          <w:szCs w:val="23"/>
        </w:rPr>
        <w:t xml:space="preserve">Le programme de fidélité de Maxi Market vise à récompenser les clients réguliers par l'accumulation de points lors de leurs achats, convertibles en avantages commerciaux. Jusqu'ici, ce programme reposait uniquement sur des cartes plastiques physiques, présentant plusieurs limites : risque de perte ou d'oubli de la carte, impossibilité de consulter son solde de points en temps réel, et coût d'impression et de gestion logistique des cartes physiques. La modernisation du système introduit des cartes de fidélité dématérialisées, stockées directement dans les applications de paiement et de stockage de passes numériques des smartphones des clients : Google Wallet pour les utilisateurs Android, et Apple Wallet pour les utilisateurs iOS.</w:t>
      </w:r>
    </w:p>
    <w:p>
      <w:pPr>
        <w:spacing w:after="140" w:before="140" w:line="360"/>
        <w:jc w:val="both"/>
      </w:pPr>
      <w:r>
        <w:rPr>
          <w:rFonts w:ascii="Arial" w:cs="Arial" w:eastAsia="Arial" w:hAnsi="Arial"/>
          <w:sz w:val="23"/>
          <w:szCs w:val="23"/>
        </w:rPr>
        <w:t xml:space="preserve">L'enjeu technique central est d'assurer une synchronisation parfaite et en temps réel entre le CRM XL Centrale (le logiciel de gestion commerciale de l'enseigne, qui est la source de vérité pour les données clients et les soldes de points), les terminaux de point de vente, et les applications wallet sur les smartphones des clients. Lorsqu'un client effectue un achat en caisse, son solde de points doit être mis à jour instantanément, et cette mise à jour doit se refléter immédiatement sur sa carte wallet numérique. Cette exigence de temps réel impose une infrastructure fiable, rapide et hautement disponible.</w:t>
      </w:r>
    </w:p>
    <w:p>
      <w:pPr>
        <w:spacing w:after="140" w:before="140" w:line="360"/>
        <w:jc w:val="both"/>
      </w:pPr>
      <w:r>
        <w:rPr>
          <w:rFonts w:ascii="Arial" w:cs="Arial" w:eastAsia="Arial" w:hAnsi="Arial"/>
          <w:sz w:val="23"/>
          <w:szCs w:val="23"/>
        </w:rPr>
        <w:t xml:space="preserve">Au-delà de l'aspect fonctionnel, ce projet soulève des enjeux importants en matière de sécurité et de conformité réglementaire. Le système traite des données personnelles sensibles (identité des clients, adresses email, historiques de transactions) qui doivent être protégées conformément au Règlement Général sur la Protection des Données (RGPD). Toute faille de sécurité exposant ces données représenterait non seulement un risque juridique et financier pour l'entreprise, mais aussi une atteinte directe à la confiance des clients.</w:t>
      </w:r>
    </w:p>
    <w:p>
      <w:pPr>
        <w:spacing w:after="0" w:before="100"/>
      </w:pPr>
    </w:p>
    <w:p>
      <w:pPr>
        <w:pStyle w:val="Heading2"/>
        <w:spacing w:after="180" w:before="360"/>
      </w:pPr>
      <w:r>
        <w:rPr>
          <w:rFonts w:ascii="Arial" w:cs="Arial" w:eastAsia="Arial" w:hAnsi="Arial"/>
          <w:b/>
          <w:bCs/>
          <w:color w:val="D4700A"/>
          <w:sz w:val="27"/>
          <w:szCs w:val="27"/>
        </w:rPr>
        <w:t xml:space="preserve">1.2 Objectifs de la mission</w:t>
      </w:r>
    </w:p>
    <w:p>
      <w:pPr>
        <w:pStyle w:val="ListParagraph"/>
        <w:numPr>
          <w:ilvl w:val="0"/>
          <w:numId w:val="2"/>
        </w:numPr>
        <w:spacing w:after="100" w:before="100" w:line="340"/>
      </w:pPr>
      <w:r>
        <w:rPr>
          <w:rFonts w:ascii="Arial" w:cs="Arial" w:eastAsia="Arial" w:hAnsi="Arial"/>
          <w:sz w:val="23"/>
          <w:szCs w:val="23"/>
        </w:rPr>
        <w:t xml:space="preserve">Concevoir l'architecture système et réseau complète supportant le programme de fidélité dématérialisé</w:t>
      </w:r>
    </w:p>
    <w:p>
      <w:pPr>
        <w:pStyle w:val="ListParagraph"/>
        <w:numPr>
          <w:ilvl w:val="0"/>
          <w:numId w:val="2"/>
        </w:numPr>
        <w:spacing w:after="100" w:before="100" w:line="340"/>
      </w:pPr>
      <w:r>
        <w:rPr>
          <w:rFonts w:ascii="Arial" w:cs="Arial" w:eastAsia="Arial" w:hAnsi="Arial"/>
          <w:sz w:val="23"/>
          <w:szCs w:val="23"/>
        </w:rPr>
        <w:t xml:space="preserve">Déployer et configurer le serveur applicatif backend Linux sur Google Cloud Platform</w:t>
      </w:r>
    </w:p>
    <w:p>
      <w:pPr>
        <w:pStyle w:val="ListParagraph"/>
        <w:numPr>
          <w:ilvl w:val="0"/>
          <w:numId w:val="2"/>
        </w:numPr>
        <w:spacing w:after="100" w:before="100" w:line="340"/>
      </w:pPr>
      <w:r>
        <w:rPr>
          <w:rFonts w:ascii="Arial" w:cs="Arial" w:eastAsia="Arial" w:hAnsi="Arial"/>
          <w:sz w:val="23"/>
          <w:szCs w:val="23"/>
        </w:rPr>
        <w:t xml:space="preserve">Mettre en place la base de données MySQL et assurer son intégration avec le CRM XL Centrale</w:t>
      </w:r>
    </w:p>
    <w:p>
      <w:pPr>
        <w:pStyle w:val="ListParagraph"/>
        <w:numPr>
          <w:ilvl w:val="0"/>
          <w:numId w:val="2"/>
        </w:numPr>
        <w:spacing w:after="100" w:before="100" w:line="340"/>
      </w:pPr>
      <w:r>
        <w:rPr>
          <w:rFonts w:ascii="Arial" w:cs="Arial" w:eastAsia="Arial" w:hAnsi="Arial"/>
          <w:sz w:val="23"/>
          <w:szCs w:val="23"/>
        </w:rPr>
        <w:t xml:space="preserve">Configurer la segmentation réseau par VLANs pour cloisonner les différents flux de données</w:t>
      </w:r>
    </w:p>
    <w:p>
      <w:pPr>
        <w:pStyle w:val="ListParagraph"/>
        <w:numPr>
          <w:ilvl w:val="0"/>
          <w:numId w:val="2"/>
        </w:numPr>
        <w:spacing w:after="100" w:before="100" w:line="340"/>
      </w:pPr>
      <w:r>
        <w:rPr>
          <w:rFonts w:ascii="Arial" w:cs="Arial" w:eastAsia="Arial" w:hAnsi="Arial"/>
          <w:sz w:val="23"/>
          <w:szCs w:val="23"/>
        </w:rPr>
        <w:t xml:space="preserve">Sécuriser les communications entre tous les composants du système (TLS, VPN site-à-site)</w:t>
      </w:r>
    </w:p>
    <w:p>
      <w:pPr>
        <w:pStyle w:val="ListParagraph"/>
        <w:numPr>
          <w:ilvl w:val="0"/>
          <w:numId w:val="2"/>
        </w:numPr>
        <w:spacing w:after="100" w:before="100" w:line="340"/>
      </w:pPr>
      <w:r>
        <w:rPr>
          <w:rFonts w:ascii="Arial" w:cs="Arial" w:eastAsia="Arial" w:hAnsi="Arial"/>
          <w:sz w:val="23"/>
          <w:szCs w:val="23"/>
        </w:rPr>
        <w:t xml:space="preserve">Déployer le pare-feu réseau pfSense et le reverse proxy NGINX avec fonctions WAF</w:t>
      </w:r>
    </w:p>
    <w:p>
      <w:pPr>
        <w:pStyle w:val="ListParagraph"/>
        <w:numPr>
          <w:ilvl w:val="0"/>
          <w:numId w:val="2"/>
        </w:numPr>
        <w:spacing w:after="100" w:before="100" w:line="340"/>
      </w:pPr>
      <w:r>
        <w:rPr>
          <w:rFonts w:ascii="Arial" w:cs="Arial" w:eastAsia="Arial" w:hAnsi="Arial"/>
          <w:sz w:val="23"/>
          <w:szCs w:val="23"/>
        </w:rPr>
        <w:t xml:space="preserve">Mettre en œuvre l'authentification OAuth 2.0 / JWT et le chiffrement AES-256 des données</w:t>
      </w:r>
    </w:p>
    <w:p>
      <w:pPr>
        <w:pStyle w:val="ListParagraph"/>
        <w:numPr>
          <w:ilvl w:val="0"/>
          <w:numId w:val="2"/>
        </w:numPr>
        <w:spacing w:after="100" w:before="100" w:line="340"/>
      </w:pPr>
      <w:r>
        <w:rPr>
          <w:rFonts w:ascii="Arial" w:cs="Arial" w:eastAsia="Arial" w:hAnsi="Arial"/>
          <w:sz w:val="23"/>
          <w:szCs w:val="23"/>
        </w:rPr>
        <w:t xml:space="preserve">Assurer la conformité RGPD du système (consentement, droit à l'effacement, journalisation)</w:t>
      </w:r>
    </w:p>
    <w:p>
      <w:pPr>
        <w:pStyle w:val="ListParagraph"/>
        <w:numPr>
          <w:ilvl w:val="0"/>
          <w:numId w:val="2"/>
        </w:numPr>
        <w:spacing w:after="100" w:before="100" w:line="340"/>
      </w:pPr>
      <w:r>
        <w:rPr>
          <w:rFonts w:ascii="Arial" w:cs="Arial" w:eastAsia="Arial" w:hAnsi="Arial"/>
          <w:sz w:val="23"/>
          <w:szCs w:val="23"/>
        </w:rPr>
        <w:t xml:space="preserve">Mettre en place le monitoring et les mécanismes de haute disponibilité</w:t>
      </w:r>
    </w:p>
    <w:p>
      <w:pPr>
        <w:pStyle w:val="ListParagraph"/>
        <w:numPr>
          <w:ilvl w:val="0"/>
          <w:numId w:val="2"/>
        </w:numPr>
        <w:spacing w:after="100" w:before="100" w:line="340"/>
      </w:pPr>
      <w:r>
        <w:rPr>
          <w:rFonts w:ascii="Arial" w:cs="Arial" w:eastAsia="Arial" w:hAnsi="Arial"/>
          <w:sz w:val="23"/>
          <w:szCs w:val="23"/>
        </w:rPr>
        <w:t xml:space="preserve">Documenter l'intégralité de l'architecture et rédiger les procédures d'exploitation</w:t>
      </w:r>
    </w:p>
    <w:p>
      <w:pPr>
        <w:spacing w:after="0" w:before="100"/>
      </w:pPr>
    </w:p>
    <w:p>
      <w:pPr>
        <w:pStyle w:val="Heading2"/>
        <w:spacing w:after="180" w:before="360"/>
      </w:pPr>
      <w:r>
        <w:rPr>
          <w:rFonts w:ascii="Arial" w:cs="Arial" w:eastAsia="Arial" w:hAnsi="Arial"/>
          <w:b/>
          <w:bCs/>
          <w:color w:val="D4700A"/>
          <w:sz w:val="27"/>
          <w:szCs w:val="27"/>
        </w:rPr>
        <w:t xml:space="preserve">1.3 Architecture générale du système</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FAE5CC" w:val="clear"/>
            <w:tcMar>
              <w:top w:type="dxa" w:w="120"/>
              <w:left w:type="dxa" w:w="160"/>
              <w:bottom w:type="dxa" w:w="120"/>
              <w:right w:type="dxa" w:w="160"/>
            </w:tcMar>
          </w:tcPr>
          <w:p>
            <w:r>
              <w:rPr>
                <w:rFonts w:ascii="Arial" w:cs="Arial" w:eastAsia="Arial" w:hAnsi="Arial"/>
                <w:b/>
                <w:bCs/>
                <w:sz w:val="22"/>
                <w:szCs w:val="22"/>
              </w:rPr>
              <w:t xml:space="preserve">CRM</w:t>
            </w:r>
          </w:p>
        </w:tc>
        <w:tc>
          <w:tcPr>
            <w:tcW w:type="dxa" w:w="5826"/>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XL Centrale – source de vérité clients et points de fidélité</w:t>
            </w:r>
          </w:p>
        </w:tc>
      </w:tr>
      <w:tr>
        <w:tc>
          <w:tcPr>
            <w:tcW w:type="dxa" w:w="3200"/>
            <w:tcBorders>
              <w:top w:val="single" w:color="CCCCCC" w:sz="1"/>
              <w:left w:val="single" w:color="CCCCCC" w:sz="1"/>
              <w:bottom w:val="single" w:color="CCCCCC" w:sz="1"/>
              <w:right w:val="single" w:color="CCCCCC" w:sz="1"/>
            </w:tcBorders>
            <w:shd w:fill="FAE5CC" w:val="clear"/>
            <w:tcMar>
              <w:top w:type="dxa" w:w="120"/>
              <w:left w:type="dxa" w:w="160"/>
              <w:bottom w:type="dxa" w:w="120"/>
              <w:right w:type="dxa" w:w="160"/>
            </w:tcMar>
          </w:tcPr>
          <w:p>
            <w:r>
              <w:rPr>
                <w:rFonts w:ascii="Arial" w:cs="Arial" w:eastAsia="Arial" w:hAnsi="Arial"/>
                <w:b/>
                <w:bCs/>
                <w:sz w:val="22"/>
                <w:szCs w:val="22"/>
              </w:rPr>
              <w:t xml:space="preserve">Wallets mobiles</w:t>
            </w:r>
          </w:p>
        </w:tc>
        <w:tc>
          <w:tcPr>
            <w:tcW w:type="dxa" w:w="5826"/>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Google Wallet API (Android) et Apple PassKit (iOS)</w:t>
            </w:r>
          </w:p>
        </w:tc>
      </w:tr>
      <w:tr>
        <w:tc>
          <w:tcPr>
            <w:tcW w:type="dxa" w:w="3200"/>
            <w:tcBorders>
              <w:top w:val="single" w:color="CCCCCC" w:sz="1"/>
              <w:left w:val="single" w:color="CCCCCC" w:sz="1"/>
              <w:bottom w:val="single" w:color="CCCCCC" w:sz="1"/>
              <w:right w:val="single" w:color="CCCCCC" w:sz="1"/>
            </w:tcBorders>
            <w:shd w:fill="FAE5CC" w:val="clear"/>
            <w:tcMar>
              <w:top w:type="dxa" w:w="120"/>
              <w:left w:type="dxa" w:w="160"/>
              <w:bottom w:type="dxa" w:w="120"/>
              <w:right w:type="dxa" w:w="160"/>
            </w:tcMar>
          </w:tcPr>
          <w:p>
            <w:r>
              <w:rPr>
                <w:rFonts w:ascii="Arial" w:cs="Arial" w:eastAsia="Arial" w:hAnsi="Arial"/>
                <w:b/>
                <w:bCs/>
                <w:sz w:val="22"/>
                <w:szCs w:val="22"/>
              </w:rPr>
              <w:t xml:space="preserve">Serveur applicatif</w:t>
            </w:r>
          </w:p>
        </w:tc>
        <w:tc>
          <w:tcPr>
            <w:tcW w:type="dxa" w:w="5826"/>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Ubuntu Server 22.04 LTS – API REST (backend)</w:t>
            </w:r>
          </w:p>
        </w:tc>
      </w:tr>
      <w:tr>
        <w:tc>
          <w:tcPr>
            <w:tcW w:type="dxa" w:w="3200"/>
            <w:tcBorders>
              <w:top w:val="single" w:color="CCCCCC" w:sz="1"/>
              <w:left w:val="single" w:color="CCCCCC" w:sz="1"/>
              <w:bottom w:val="single" w:color="CCCCCC" w:sz="1"/>
              <w:right w:val="single" w:color="CCCCCC" w:sz="1"/>
            </w:tcBorders>
            <w:shd w:fill="FAE5CC" w:val="clear"/>
            <w:tcMar>
              <w:top w:type="dxa" w:w="120"/>
              <w:left w:type="dxa" w:w="160"/>
              <w:bottom w:type="dxa" w:w="120"/>
              <w:right w:type="dxa" w:w="160"/>
            </w:tcMar>
          </w:tcPr>
          <w:p>
            <w:r>
              <w:rPr>
                <w:rFonts w:ascii="Arial" w:cs="Arial" w:eastAsia="Arial" w:hAnsi="Arial"/>
                <w:b/>
                <w:bCs/>
                <w:sz w:val="22"/>
                <w:szCs w:val="22"/>
              </w:rPr>
              <w:t xml:space="preserve">Base de données</w:t>
            </w:r>
          </w:p>
        </w:tc>
        <w:tc>
          <w:tcPr>
            <w:tcW w:type="dxa" w:w="5826"/>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MySQL 8.0 – données clients, transactions, passes wallet</w:t>
            </w:r>
          </w:p>
        </w:tc>
      </w:tr>
      <w:tr>
        <w:tc>
          <w:tcPr>
            <w:tcW w:type="dxa" w:w="3200"/>
            <w:tcBorders>
              <w:top w:val="single" w:color="CCCCCC" w:sz="1"/>
              <w:left w:val="single" w:color="CCCCCC" w:sz="1"/>
              <w:bottom w:val="single" w:color="CCCCCC" w:sz="1"/>
              <w:right w:val="single" w:color="CCCCCC" w:sz="1"/>
            </w:tcBorders>
            <w:shd w:fill="FAE5CC" w:val="clear"/>
            <w:tcMar>
              <w:top w:type="dxa" w:w="120"/>
              <w:left w:type="dxa" w:w="160"/>
              <w:bottom w:type="dxa" w:w="120"/>
              <w:right w:type="dxa" w:w="160"/>
            </w:tcMar>
          </w:tcPr>
          <w:p>
            <w:r>
              <w:rPr>
                <w:rFonts w:ascii="Arial" w:cs="Arial" w:eastAsia="Arial" w:hAnsi="Arial"/>
                <w:b/>
                <w:bCs/>
                <w:sz w:val="22"/>
                <w:szCs w:val="22"/>
              </w:rPr>
              <w:t xml:space="preserve">Cloud</w:t>
            </w:r>
          </w:p>
        </w:tc>
        <w:tc>
          <w:tcPr>
            <w:tcW w:type="dxa" w:w="5826"/>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Google Cloud Platform (GCP) – hébergement, stockage, monitoring</w:t>
            </w:r>
          </w:p>
        </w:tc>
      </w:tr>
      <w:tr>
        <w:tc>
          <w:tcPr>
            <w:tcW w:type="dxa" w:w="3200"/>
            <w:tcBorders>
              <w:top w:val="single" w:color="CCCCCC" w:sz="1"/>
              <w:left w:val="single" w:color="CCCCCC" w:sz="1"/>
              <w:bottom w:val="single" w:color="CCCCCC" w:sz="1"/>
              <w:right w:val="single" w:color="CCCCCC" w:sz="1"/>
            </w:tcBorders>
            <w:shd w:fill="FAE5CC" w:val="clear"/>
            <w:tcMar>
              <w:top w:type="dxa" w:w="120"/>
              <w:left w:type="dxa" w:w="160"/>
              <w:bottom w:type="dxa" w:w="120"/>
              <w:right w:type="dxa" w:w="160"/>
            </w:tcMar>
          </w:tcPr>
          <w:p>
            <w:r>
              <w:rPr>
                <w:rFonts w:ascii="Arial" w:cs="Arial" w:eastAsia="Arial" w:hAnsi="Arial"/>
                <w:b/>
                <w:bCs/>
                <w:sz w:val="22"/>
                <w:szCs w:val="22"/>
              </w:rPr>
              <w:t xml:space="preserve">Réseau</w:t>
            </w:r>
          </w:p>
        </w:tc>
        <w:tc>
          <w:tcPr>
            <w:tcW w:type="dxa" w:w="5826"/>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VLANs (Admin/Caisses/Serveurs/Invité), pfSense, VPN site-à-site</w:t>
            </w:r>
          </w:p>
        </w:tc>
      </w:tr>
      <w:tr>
        <w:tc>
          <w:tcPr>
            <w:tcW w:type="dxa" w:w="3200"/>
            <w:tcBorders>
              <w:top w:val="single" w:color="CCCCCC" w:sz="1"/>
              <w:left w:val="single" w:color="CCCCCC" w:sz="1"/>
              <w:bottom w:val="single" w:color="CCCCCC" w:sz="1"/>
              <w:right w:val="single" w:color="CCCCCC" w:sz="1"/>
            </w:tcBorders>
            <w:shd w:fill="FAE5CC" w:val="clear"/>
            <w:tcMar>
              <w:top w:type="dxa" w:w="120"/>
              <w:left w:type="dxa" w:w="160"/>
              <w:bottom w:type="dxa" w:w="120"/>
              <w:right w:type="dxa" w:w="160"/>
            </w:tcMar>
          </w:tcPr>
          <w:p>
            <w:r>
              <w:rPr>
                <w:rFonts w:ascii="Arial" w:cs="Arial" w:eastAsia="Arial" w:hAnsi="Arial"/>
                <w:b/>
                <w:bCs/>
                <w:sz w:val="22"/>
                <w:szCs w:val="22"/>
              </w:rPr>
              <w:t xml:space="preserve">Sécurité</w:t>
            </w:r>
          </w:p>
        </w:tc>
        <w:tc>
          <w:tcPr>
            <w:tcW w:type="dxa" w:w="5826"/>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TLS 1.3, OAuth 2.0, JWT, AES-256, bcrypt, WAF NGINX</w:t>
            </w:r>
          </w:p>
        </w:tc>
      </w:tr>
      <w:tr>
        <w:tc>
          <w:tcPr>
            <w:tcW w:type="dxa" w:w="3200"/>
            <w:tcBorders>
              <w:top w:val="single" w:color="CCCCCC" w:sz="1"/>
              <w:left w:val="single" w:color="CCCCCC" w:sz="1"/>
              <w:bottom w:val="single" w:color="CCCCCC" w:sz="1"/>
              <w:right w:val="single" w:color="CCCCCC" w:sz="1"/>
            </w:tcBorders>
            <w:shd w:fill="FAE5CC" w:val="clear"/>
            <w:tcMar>
              <w:top w:type="dxa" w:w="120"/>
              <w:left w:type="dxa" w:w="160"/>
              <w:bottom w:type="dxa" w:w="120"/>
              <w:right w:type="dxa" w:w="160"/>
            </w:tcMar>
          </w:tcPr>
          <w:p>
            <w:r>
              <w:rPr>
                <w:rFonts w:ascii="Arial" w:cs="Arial" w:eastAsia="Arial" w:hAnsi="Arial"/>
                <w:b/>
                <w:bCs/>
                <w:sz w:val="22"/>
                <w:szCs w:val="22"/>
              </w:rPr>
              <w:t xml:space="preserve">Conformité</w:t>
            </w:r>
          </w:p>
        </w:tc>
        <w:tc>
          <w:tcPr>
            <w:tcW w:type="dxa" w:w="5826"/>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RGPD – consentement, droit à l'oubli, RoPA, journalisation</w:t>
            </w:r>
          </w:p>
        </w:tc>
      </w:tr>
    </w:tbl>
    <w:p>
      <w:pPr>
        <w:spacing w:after="0" w:before="200"/>
      </w:pPr>
    </w:p>
    <w:p>
      <w:r>
        <w:br w:type="page"/>
      </w:r>
    </w:p>
    <w:p>
      <w:pPr>
        <w:pStyle w:val="Heading1"/>
        <w:pBdr>
          <w:bottom w:val="single" w:color="BF5700" w:sz="8" w:space="6"/>
        </w:pBdr>
        <w:spacing w:after="220" w:before="480"/>
      </w:pPr>
      <w:r>
        <w:rPr>
          <w:rFonts w:ascii="Arial" w:cs="Arial" w:eastAsia="Arial" w:hAnsi="Arial"/>
          <w:b/>
          <w:bCs/>
          <w:color w:val="BF5700"/>
          <w:sz w:val="34"/>
          <w:szCs w:val="34"/>
        </w:rPr>
        <w:t xml:space="preserve">2. Explication détaillée</w:t>
      </w:r>
    </w:p>
    <w:p>
      <w:pPr>
        <w:pStyle w:val="Heading2"/>
        <w:spacing w:after="180" w:before="360"/>
      </w:pPr>
      <w:r>
        <w:rPr>
          <w:rFonts w:ascii="Arial" w:cs="Arial" w:eastAsia="Arial" w:hAnsi="Arial"/>
          <w:b/>
          <w:bCs/>
          <w:color w:val="D4700A"/>
          <w:sz w:val="27"/>
          <w:szCs w:val="27"/>
        </w:rPr>
        <w:t xml:space="preserve">2.1 Architecture système</w:t>
      </w:r>
    </w:p>
    <w:p>
      <w:pPr>
        <w:spacing w:after="120" w:before="280"/>
      </w:pPr>
      <w:r>
        <w:rPr>
          <w:rFonts w:ascii="Arial" w:cs="Arial" w:eastAsia="Arial" w:hAnsi="Arial"/>
          <w:b/>
          <w:bCs/>
          <w:color w:val="333333"/>
          <w:sz w:val="24"/>
          <w:szCs w:val="24"/>
        </w:rPr>
        <w:t xml:space="preserve">2.1.1 Serveur applicatif backend sur Google Cloud Platform</w:t>
      </w:r>
    </w:p>
    <w:p>
      <w:pPr>
        <w:spacing w:after="140" w:before="140" w:line="360"/>
        <w:jc w:val="both"/>
      </w:pPr>
      <w:r>
        <w:rPr>
          <w:rFonts w:ascii="Arial" w:cs="Arial" w:eastAsia="Arial" w:hAnsi="Arial"/>
          <w:sz w:val="23"/>
          <w:szCs w:val="23"/>
        </w:rPr>
        <w:t xml:space="preserve">Le composant central de l'infrastructure est un serveur applicatif déployé sur Google Cloud Platform (GCP), fonctionnant sous Ubuntu Server 22.04 LTS. Ce serveur expose une API REST qui constitue le point de communication unique entre toutes les entités du système : les terminaux de point de vente, le CRM XL Centrale, les applications wallet des smartphones clients, et les outils d'administration interne.</w:t>
      </w:r>
    </w:p>
    <w:p>
      <w:pPr>
        <w:spacing w:after="140" w:before="140" w:line="360"/>
        <w:jc w:val="both"/>
      </w:pPr>
      <w:r>
        <w:rPr>
          <w:rFonts w:ascii="Arial" w:cs="Arial" w:eastAsia="Arial" w:hAnsi="Arial"/>
          <w:sz w:val="23"/>
          <w:szCs w:val="23"/>
        </w:rPr>
        <w:t xml:space="preserve">Le choix de Linux Ubuntu Server comme système d'exploitation est motivé par plusieurs facteurs déterminants. Sa stabilité et sa maturité en font la référence des serveurs web et d'application dans le monde professionnel : la grande majorité des serveurs hébergeant des services en ligne fonctionnent sous Linux. Son modèle de sécurité, basé sur des privilèges stricts et un pare-feu intégré (iptables/nftables), offre une surface d'attaque naturellement réduite par rapport aux systèmes Windows Server. Enfin, l'absence de coût de licence et la richesse de son écosystème open source permettent de déployer les composants nécessaires (serveur web, gestionnaire de processus, outils de monitoring) sans contrainte financière.</w:t>
      </w:r>
    </w:p>
    <w:p>
      <w:pPr>
        <w:spacing w:after="140" w:before="140" w:line="360"/>
        <w:jc w:val="both"/>
      </w:pPr>
      <w:r>
        <w:rPr>
          <w:rFonts w:ascii="Arial" w:cs="Arial" w:eastAsia="Arial" w:hAnsi="Arial"/>
          <w:sz w:val="23"/>
          <w:szCs w:val="23"/>
        </w:rPr>
        <w:t xml:space="preserve">L'hébergement sur Google Cloud Platform offre des avantages opérationnels considérables : disponibilité des datacenters certifiée à 99,99%, scalabilité automatique permettant d'absorber les pics de charge (périodes de promotions, soldes), accès à des services managés réduisant la charge d'administration (Cloud SQL pour la base de données managée, Cloud Storage pour les sauvegardes, Cloud Monitoring pour l'observabilité), et présence d'une infrastructure de réseau mondiale garantissant des temps de réponse rapides depuis n'importe quel point de connexion.</w:t>
      </w:r>
    </w:p>
    <w:p>
      <w:pPr>
        <w:spacing w:after="120" w:before="280"/>
      </w:pPr>
      <w:r>
        <w:rPr>
          <w:rFonts w:ascii="Arial" w:cs="Arial" w:eastAsia="Arial" w:hAnsi="Arial"/>
          <w:b/>
          <w:bCs/>
          <w:color w:val="333333"/>
          <w:sz w:val="24"/>
          <w:szCs w:val="24"/>
        </w:rPr>
        <w:t xml:space="preserve">2.1.2 Base de données MySQL</w:t>
      </w:r>
    </w:p>
    <w:p>
      <w:pPr>
        <w:spacing w:after="140" w:before="140" w:line="360"/>
        <w:jc w:val="both"/>
      </w:pPr>
      <w:r>
        <w:rPr>
          <w:rFonts w:ascii="Arial" w:cs="Arial" w:eastAsia="Arial" w:hAnsi="Arial"/>
          <w:sz w:val="23"/>
          <w:szCs w:val="23"/>
        </w:rPr>
        <w:t xml:space="preserve">La base de données MySQL stocke l'intégralité des données structurées du programme de fidélité. Le schéma de base de données a été conçu pour refléter fidèlement le modèle métier du programme : une table clients regroupant les informations personnelles (nom, prénom, email, téléphone, date d'inscription, statut du consentement RGPD), une table cartes associant chaque client à ses identifiants de carte physique et de carte virtuelle, une table transactions_points enregistrant chaque opération de crédit ou débit de points avec horodatage et référence de transaction, et une table passes_wallet stockant les métadonnées des passes Google Wallet et Apple Wallet générés.</w:t>
      </w:r>
    </w:p>
    <w:p>
      <w:pPr>
        <w:spacing w:after="140" w:before="140" w:line="360"/>
        <w:jc w:val="both"/>
      </w:pPr>
      <w:r>
        <w:rPr>
          <w:rFonts w:ascii="Arial" w:cs="Arial" w:eastAsia="Arial" w:hAnsi="Arial"/>
          <w:sz w:val="23"/>
          <w:szCs w:val="23"/>
        </w:rPr>
        <w:t xml:space="preserve">Des contraintes d'intégrité référentielle ont été définies entre les tables pour garantir la cohérence des données. Des index ont été créés sur les colonnes les plus fréquemment utilisées dans les requêtes (identifiants clients, numéros de carte) pour optimiser les performances des recherches. La réplication en lecture (read replica MySQL) permet de rediriger les requêtes de consultation et de reporting vers une instance secondaire, déchargeant ainsi l'instance principale des requêtes transactionnelles en temps réel.</w:t>
      </w:r>
    </w:p>
    <w:p>
      <w:pPr>
        <w:spacing w:after="140" w:before="140" w:line="360"/>
        <w:jc w:val="both"/>
      </w:pPr>
      <w:r>
        <w:rPr>
          <w:rFonts w:ascii="Arial" w:cs="Arial" w:eastAsia="Arial" w:hAnsi="Arial"/>
          <w:sz w:val="23"/>
          <w:szCs w:val="23"/>
        </w:rPr>
        <w:t xml:space="preserve">Des sauvegardes automatisées sont planifiées quotidiennement via des jobs cron, générant un dump chiffré de la base de données exporté vers un bucket Google Cloud Storage. Ces sauvegardes sont conservées pendant 30 jours et leur restauration est testée mensuellement pour valider leur intégrité et s'assurer que la procédure de reprise après sinistre est opérationnelle.</w:t>
      </w:r>
    </w:p>
    <w:p>
      <w:pPr>
        <w:spacing w:after="120" w:before="280"/>
      </w:pPr>
      <w:r>
        <w:rPr>
          <w:rFonts w:ascii="Arial" w:cs="Arial" w:eastAsia="Arial" w:hAnsi="Arial"/>
          <w:b/>
          <w:bCs/>
          <w:color w:val="333333"/>
          <w:sz w:val="24"/>
          <w:szCs w:val="24"/>
        </w:rPr>
        <w:t xml:space="preserve">2.1.3 Intégration avec le CRM XL Centrale via webhooks</w:t>
      </w:r>
    </w:p>
    <w:p>
      <w:pPr>
        <w:spacing w:after="140" w:before="140" w:line="360"/>
        <w:jc w:val="both"/>
      </w:pPr>
      <w:r>
        <w:rPr>
          <w:rFonts w:ascii="Arial" w:cs="Arial" w:eastAsia="Arial" w:hAnsi="Arial"/>
          <w:sz w:val="23"/>
          <w:szCs w:val="23"/>
        </w:rPr>
        <w:t xml:space="preserve">L'intégration entre le CRM XL Centrale et le backend de fidélité est le mécanisme qui permet la synchronisation en temps réel des données entre les deux systèmes. Cette intégration repose sur le pattern architectural des webhooks : plutôt que le backend interroge périodiquement le CRM pour détecter de nouvelles transactions (approche dite de polling, qui est inefficace et génère une charge inutile), c'est le CRM qui notifie activement le backend à chaque événement pertinent.</w:t>
      </w:r>
    </w:p>
    <w:p>
      <w:pPr>
        <w:spacing w:after="140" w:before="140" w:line="360"/>
        <w:jc w:val="both"/>
      </w:pPr>
      <w:r>
        <w:rPr>
          <w:rFonts w:ascii="Arial" w:cs="Arial" w:eastAsia="Arial" w:hAnsi="Arial"/>
          <w:sz w:val="23"/>
          <w:szCs w:val="23"/>
        </w:rPr>
        <w:t xml:space="preserve">Concrètement, à chaque passage en caisse d'un client porteur de carte de fidélité, le terminal de point de vente transmet la transaction au CRM XL Centrale qui calcule les points à attribuer et met à jour le solde. Simultanément, le CRM envoie une requête HTTP POST vers un endpoint dédié de l'API backend, transmettant les informations de la transaction (identifiant client, montant, points attribués, nouveau solde). Le backend valide cette notification, met à jour sa propre base de données, et déclenche la mise à jour de la carte wallet sur le smartphone du client via les APIs Google Wallet et Apple PassKit.</w:t>
      </w:r>
    </w:p>
    <w:p>
      <w:pPr>
        <w:spacing w:after="140" w:before="140" w:line="360"/>
        <w:jc w:val="both"/>
      </w:pPr>
      <w:r>
        <w:rPr>
          <w:rFonts w:ascii="Arial" w:cs="Arial" w:eastAsia="Arial" w:hAnsi="Arial"/>
          <w:sz w:val="23"/>
          <w:szCs w:val="23"/>
        </w:rPr>
        <w:t xml:space="preserve">Pour garantir la fiabilité de cette intégration, un mécanisme de retry automatique (relance automatique en cas d'échec) a été implémenté côté CRM : si le backend ne répond pas dans le délai imparti, la notification est remise en file d'attente et renvoyée après un délai croissant (1 minute, 5 minutes, 30 minutes). Les notifications non délivrées après plusieurs tentatives sont signalées dans le tableau de bord d'administration pour traitement manuel.</w:t>
      </w:r>
    </w:p>
    <w:p>
      <w:pPr>
        <w:spacing w:after="0" w:before="120"/>
      </w:pPr>
    </w:p>
    <w:p>
      <w:pPr>
        <w:pStyle w:val="Heading2"/>
        <w:spacing w:after="180" w:before="360"/>
      </w:pPr>
      <w:r>
        <w:rPr>
          <w:rFonts w:ascii="Arial" w:cs="Arial" w:eastAsia="Arial" w:hAnsi="Arial"/>
          <w:b/>
          <w:bCs/>
          <w:color w:val="D4700A"/>
          <w:sz w:val="27"/>
          <w:szCs w:val="27"/>
        </w:rPr>
        <w:t xml:space="preserve">2.2 Architecture réseau et segmentation VLAN</w:t>
      </w:r>
    </w:p>
    <w:p>
      <w:pPr>
        <w:spacing w:after="120" w:before="280"/>
      </w:pPr>
      <w:r>
        <w:rPr>
          <w:rFonts w:ascii="Arial" w:cs="Arial" w:eastAsia="Arial" w:hAnsi="Arial"/>
          <w:b/>
          <w:bCs/>
          <w:color w:val="333333"/>
          <w:sz w:val="24"/>
          <w:szCs w:val="24"/>
        </w:rPr>
        <w:t xml:space="preserve">2.2.1 Conception de la segmentation VLAN</w:t>
      </w:r>
    </w:p>
    <w:p>
      <w:pPr>
        <w:spacing w:after="140" w:before="140" w:line="360"/>
        <w:jc w:val="both"/>
      </w:pPr>
      <w:r>
        <w:rPr>
          <w:rFonts w:ascii="Arial" w:cs="Arial" w:eastAsia="Arial" w:hAnsi="Arial"/>
          <w:sz w:val="23"/>
          <w:szCs w:val="23"/>
        </w:rPr>
        <w:t xml:space="preserve">La segmentation du réseau local de Maxi Market par VLANs (Virtual Local Area Networks) est l'une des mesures architecturales les plus importantes de ce projet. Un VLAN permet de créer des réseaux logiques indépendants sur une même infrastructure physique, en isolant les équipements et les flux selon des critères fonctionnels ou de sécurité. Cette isolation est fondamentale dans un environnement où coexistent des équipements de criticité très différente.</w:t>
      </w:r>
    </w:p>
    <w:p>
      <w:pPr>
        <w:spacing w:after="140" w:before="140" w:line="360"/>
        <w:jc w:val="both"/>
      </w:pPr>
      <w:r>
        <w:rPr>
          <w:rFonts w:ascii="Arial" w:cs="Arial" w:eastAsia="Arial" w:hAnsi="Arial"/>
          <w:sz w:val="23"/>
          <w:szCs w:val="23"/>
        </w:rPr>
        <w:t xml:space="preserve">L'architecture VLAN déployée comprend quatre segments distincts. Le VLAN 10 est dédié aux postes d'administration et à l'équipe informatique. Il dispose du niveau de confiance le plus élevé et peut accéder à tous les autres VLANs selon des règles strictes. Le VLAN 20 regroupe les terminaux de point de vente (caisses) et les équipements directement liés à l'activité commerciale. Ce VLAN a un accès restreint au VLAN serveurs, limité aux seuls ports nécessaires aux transactions de fidélité. Le VLAN 30, le plus sensible, héberge les serveurs internes de l'entreprise. Il est soumis aux règles de filtrage les plus strictes et son accès est limité au strict minimum nécessaire depuis les autres VLANs. Enfin, le VLAN 40 fournit un accès Wi-Fi aux clients de l'enseigne, totalement isolé du réseau interne sans aucune possibilité de routage vers les VLANs 10, 20 ou 30.</w:t>
      </w:r>
    </w:p>
    <w:p>
      <w:pPr>
        <w:spacing w:after="140" w:before="140" w:line="360"/>
        <w:jc w:val="both"/>
      </w:pPr>
      <w:r>
        <w:rPr>
          <w:rFonts w:ascii="Arial" w:cs="Arial" w:eastAsia="Arial" w:hAnsi="Arial"/>
          <w:sz w:val="23"/>
          <w:szCs w:val="23"/>
        </w:rPr>
        <w:t xml:space="preserve">La segmentation est implémentée au niveau du switch manageable de l'entreprise, qui taggue les trames Ethernet avec les identifiants VLAN correspondants (802.1Q). Le routage inter-VLAN est délégué au pare-feu pfSense, qui constitue le seul point de passage entre les VLANs et applique les politiques de filtrage définies.</w:t>
      </w:r>
    </w:p>
    <w:p>
      <w:pPr>
        <w:spacing w:after="120" w:before="280"/>
      </w:pPr>
      <w:r>
        <w:rPr>
          <w:rFonts w:ascii="Arial" w:cs="Arial" w:eastAsia="Arial" w:hAnsi="Arial"/>
          <w:b/>
          <w:bCs/>
          <w:color w:val="333333"/>
          <w:sz w:val="24"/>
          <w:szCs w:val="24"/>
        </w:rPr>
        <w:t xml:space="preserve">2.2.2 Pare-feu réseau pfSense</w:t>
      </w:r>
    </w:p>
    <w:p>
      <w:pPr>
        <w:spacing w:after="140" w:before="140" w:line="360"/>
        <w:jc w:val="both"/>
      </w:pPr>
      <w:r>
        <w:rPr>
          <w:rFonts w:ascii="Arial" w:cs="Arial" w:eastAsia="Arial" w:hAnsi="Arial"/>
          <w:sz w:val="23"/>
          <w:szCs w:val="23"/>
        </w:rPr>
        <w:t xml:space="preserve">pfSense est une distribution de pare-feu open source basée sur FreeBSD, reconnue pour sa robustesse et ses fonctionnalités avancées de filtrage réseau. Déployé sur un serveur dédié, pfSense remplit plusieurs rôles critiques dans l'infrastructure de fidélité : pare-feu de périmètre filtrant les flux entre les VLANs et vers Internet, routeur inter-VLAN gérant les communications autorisées entre les différents segments réseau, et endpoint du VPN site-à-site vers Google Cloud Platform.</w:t>
      </w:r>
    </w:p>
    <w:p>
      <w:pPr>
        <w:spacing w:after="140" w:before="140" w:line="360"/>
        <w:jc w:val="both"/>
      </w:pPr>
      <w:r>
        <w:rPr>
          <w:rFonts w:ascii="Arial" w:cs="Arial" w:eastAsia="Arial" w:hAnsi="Arial"/>
          <w:sz w:val="23"/>
          <w:szCs w:val="23"/>
        </w:rPr>
        <w:t xml:space="preserve">Les règles de filtrage appliquées sur pfSense suivent le principe du moindre privilège : tout trafic est bloqué par défaut, et seuls les flux explicitement autorisés sont permis. Par exemple, le VLAN Caisses ne peut communiquer avec le VLAN Serveurs que sur le port 443 (HTTPS), et uniquement à destination de l'adresse IP du serveur applicatif. Toute autre tentative de connexion est bloquée et journalisée.</w:t>
      </w:r>
    </w:p>
    <w:p>
      <w:pPr>
        <w:spacing w:after="120" w:before="280"/>
      </w:pPr>
      <w:r>
        <w:rPr>
          <w:rFonts w:ascii="Arial" w:cs="Arial" w:eastAsia="Arial" w:hAnsi="Arial"/>
          <w:b/>
          <w:bCs/>
          <w:color w:val="333333"/>
          <w:sz w:val="24"/>
          <w:szCs w:val="24"/>
        </w:rPr>
        <w:t xml:space="preserve">2.2.3 VPN site-à-site vers Google Cloud Platform</w:t>
      </w:r>
    </w:p>
    <w:p>
      <w:pPr>
        <w:spacing w:after="140" w:before="140" w:line="360"/>
        <w:jc w:val="both"/>
      </w:pPr>
      <w:r>
        <w:rPr>
          <w:rFonts w:ascii="Arial" w:cs="Arial" w:eastAsia="Arial" w:hAnsi="Arial"/>
          <w:sz w:val="23"/>
          <w:szCs w:val="23"/>
        </w:rPr>
        <w:t xml:space="preserve">Pour sécuriser les communications entre l'infrastructure locale de Maxi Market et les ressources hébergées sur Google Cloud Platform, un VPN (Virtual Private Network) site-à-site a été configuré. Ce tunnel VPN chiffré relie le pare-feu pfSense local à la passerelle VPN de la VPC (Virtual Private Cloud) Google, créant un réseau privé étendu dans lequel les échanges entre les deux sites sont totalement chiffrés et opaques pour tout observateur externe.</w:t>
      </w:r>
    </w:p>
    <w:p>
      <w:pPr>
        <w:spacing w:after="140" w:before="140" w:line="360"/>
        <w:jc w:val="both"/>
      </w:pPr>
      <w:r>
        <w:rPr>
          <w:rFonts w:ascii="Arial" w:cs="Arial" w:eastAsia="Arial" w:hAnsi="Arial"/>
          <w:sz w:val="23"/>
          <w:szCs w:val="23"/>
        </w:rPr>
        <w:t xml:space="preserve">Ce tunnel VPN est utilisé pour les communications d'administration (déploiements de code, accès SSH au serveur, maintenance de la base de données) et pour la synchronisation des sauvegardes. Les communications applicatives courantes (requêtes API des clients et du CRM) transitent quant à elles par des connexions HTTPS avec TLS 1.3, dont le niveau de chiffrement est suffisant sans nécessiter le tunnel VPN.</w:t>
      </w:r>
    </w:p>
    <w:p>
      <w:pPr>
        <w:spacing w:after="120" w:before="280"/>
      </w:pPr>
      <w:r>
        <w:rPr>
          <w:rFonts w:ascii="Arial" w:cs="Arial" w:eastAsia="Arial" w:hAnsi="Arial"/>
          <w:b/>
          <w:bCs/>
          <w:color w:val="333333"/>
          <w:sz w:val="24"/>
          <w:szCs w:val="24"/>
        </w:rPr>
        <w:t xml:space="preserve">2.2.4 Reverse proxy NGINX et WAF</w:t>
      </w:r>
    </w:p>
    <w:p>
      <w:pPr>
        <w:spacing w:after="140" w:before="140" w:line="360"/>
        <w:jc w:val="both"/>
      </w:pPr>
      <w:r>
        <w:rPr>
          <w:rFonts w:ascii="Arial" w:cs="Arial" w:eastAsia="Arial" w:hAnsi="Arial"/>
          <w:sz w:val="23"/>
          <w:szCs w:val="23"/>
        </w:rPr>
        <w:t xml:space="preserve">NGINX est déployé comme reverse proxy devant le serveur applicatif backend. Le reverse proxy joue plusieurs rôles essentiels : il est le seul composant directement exposé à Internet, protégeant le serveur applicatif d'une exposition directe ; il gère la terminaison TLS (déchiffrement des requêtes HTTPS entrant et rechiffrement vers le backend), centralisant ainsi la gestion des certificats SSL ; il assure la répartition de charge (load balancing) entre les instances du serveur applicatif ; et il intègre des fonctions de pare-feu applicatif web (WAF) permettant de filtrer les attaques ciblant la couche application.</w:t>
      </w:r>
    </w:p>
    <w:p>
      <w:pPr>
        <w:spacing w:after="140" w:before="140" w:line="360"/>
        <w:jc w:val="both"/>
      </w:pPr>
      <w:r>
        <w:rPr>
          <w:rFonts w:ascii="Arial" w:cs="Arial" w:eastAsia="Arial" w:hAnsi="Arial"/>
          <w:sz w:val="23"/>
          <w:szCs w:val="23"/>
        </w:rPr>
        <w:t xml:space="preserve">Les règles WAF configurées sur NGINX bloquent notamment les tentatives d'injection SQL (envoi de code SQL malveillant dans les paramètres des requêtes), les attaques XSS (Cross-Site Scripting, injection de code JavaScript malveillant), les tentatives de traversée de répertoires (path traversal), et les scans automatisés (protection par limitation de débit par adresse IP source).</w:t>
      </w:r>
    </w:p>
    <w:p>
      <w:pPr>
        <w:spacing w:after="0" w:before="120"/>
      </w:pPr>
    </w:p>
    <w:p>
      <w:pPr>
        <w:pStyle w:val="Heading2"/>
        <w:spacing w:after="180" w:before="360"/>
      </w:pPr>
      <w:r>
        <w:rPr>
          <w:rFonts w:ascii="Arial" w:cs="Arial" w:eastAsia="Arial" w:hAnsi="Arial"/>
          <w:b/>
          <w:bCs/>
          <w:color w:val="D4700A"/>
          <w:sz w:val="27"/>
          <w:szCs w:val="27"/>
        </w:rPr>
        <w:t xml:space="preserve">2.3 Sécurité des communications et authentification</w:t>
      </w:r>
    </w:p>
    <w:p>
      <w:pPr>
        <w:spacing w:after="120" w:before="280"/>
      </w:pPr>
      <w:r>
        <w:rPr>
          <w:rFonts w:ascii="Arial" w:cs="Arial" w:eastAsia="Arial" w:hAnsi="Arial"/>
          <w:b/>
          <w:bCs/>
          <w:color w:val="333333"/>
          <w:sz w:val="24"/>
          <w:szCs w:val="24"/>
        </w:rPr>
        <w:t xml:space="preserve">2.3.1 Chiffrement des communications avec TLS 1.3</w:t>
      </w:r>
    </w:p>
    <w:p>
      <w:pPr>
        <w:spacing w:after="140" w:before="140" w:line="360"/>
        <w:jc w:val="both"/>
      </w:pPr>
      <w:r>
        <w:rPr>
          <w:rFonts w:ascii="Arial" w:cs="Arial" w:eastAsia="Arial" w:hAnsi="Arial"/>
          <w:sz w:val="23"/>
          <w:szCs w:val="23"/>
        </w:rPr>
        <w:t xml:space="preserve">L'ensemble des communications entre les composants du système de fidélité transitent exclusivement via des canaux chiffrés utilisant le protocole TLS (Transport Layer Security) en version 1.3, la version la plus récente et la plus sécurisée du protocole. TLS garantit trois propriétés fondamentales pour la sécurité des échanges : la confidentialité (les données transmises ne peuvent être lues par un tiers interceptant le trafic), l'intégrité (toute altération des données en transit est détectable), et l'authenticité (le client peut vérifier qu'il communique bien avec le serveur légitime grâce au certificat SSL).</w:t>
      </w:r>
    </w:p>
    <w:p>
      <w:pPr>
        <w:spacing w:after="140" w:before="140" w:line="360"/>
        <w:jc w:val="both"/>
      </w:pPr>
      <w:r>
        <w:rPr>
          <w:rFonts w:ascii="Arial" w:cs="Arial" w:eastAsia="Arial" w:hAnsi="Arial"/>
          <w:sz w:val="23"/>
          <w:szCs w:val="23"/>
        </w:rPr>
        <w:t xml:space="preserve">Les certificats SSL/TLS sont émis par Let's Encrypt, une autorité de certification reconnue et gratuite, et leur renouvellement automatique est géré par l'outil Certbot qui vérifie quotidiennement leur validité et les renouvelle avant expiration. Cette automatisation évite le risque d'expiration accidentelle d'un certificat qui mettrait l'API hors service.</w:t>
      </w:r>
    </w:p>
    <w:p>
      <w:pPr>
        <w:spacing w:after="120" w:before="280"/>
      </w:pPr>
      <w:r>
        <w:rPr>
          <w:rFonts w:ascii="Arial" w:cs="Arial" w:eastAsia="Arial" w:hAnsi="Arial"/>
          <w:b/>
          <w:bCs/>
          <w:color w:val="333333"/>
          <w:sz w:val="24"/>
          <w:szCs w:val="24"/>
        </w:rPr>
        <w:t xml:space="preserve">2.3.2 Authentification OAuth 2.0 et tokens JWT</w:t>
      </w:r>
    </w:p>
    <w:p>
      <w:pPr>
        <w:spacing w:after="140" w:before="140" w:line="360"/>
        <w:jc w:val="both"/>
      </w:pPr>
      <w:r>
        <w:rPr>
          <w:rFonts w:ascii="Arial" w:cs="Arial" w:eastAsia="Arial" w:hAnsi="Arial"/>
          <w:sz w:val="23"/>
          <w:szCs w:val="23"/>
        </w:rPr>
        <w:t xml:space="preserve">Le système d'authentification et d'autorisation entre les différents composants de l'infrastructure repose sur le protocole OAuth 2.0 avec émission de tokens JWT (JSON Web Tokens). Ce mécanisme remplace avantageusement l'authentification traditionnelle par login/mot de passe pour les échanges machine-à-machine : plutôt que de transmettre des credentials à chaque requête (avec le risque d'interception associé), le système émet un token signé numériquement, à durée de vie limitée, qui atteste de l'identité et des droits de son porteur.</w:t>
      </w:r>
    </w:p>
    <w:p>
      <w:pPr>
        <w:spacing w:after="140" w:before="140" w:line="360"/>
        <w:jc w:val="both"/>
      </w:pPr>
      <w:r>
        <w:rPr>
          <w:rFonts w:ascii="Arial" w:cs="Arial" w:eastAsia="Arial" w:hAnsi="Arial"/>
          <w:sz w:val="23"/>
          <w:szCs w:val="23"/>
        </w:rPr>
        <w:t xml:space="preserve">Un JWT est structuré en trois parties encodées en Base64 : le header (décrivant l'algorithme de signature utilisé), le payload (contenant les informations d'identité et les droits, appelés claims), et la signature (calculée avec une clé secrète connue du seul serveur émetteur). Lors de chaque requête à l'API, le token JWT est transmis dans l'en-tête HTTP Authorization. Le serveur vérifie la signature pour s'assurer que le token est authentique et n'a pas été altéré, puis vérifie sa date d'expiration. Si toutes les vérifications passent, la requête est traitée ; sinon, elle est rejetée avec un code d'erreur 401 (Non autorisé).</w:t>
      </w:r>
    </w:p>
    <w:p>
      <w:pPr>
        <w:spacing w:after="140" w:before="140" w:line="360"/>
        <w:jc w:val="both"/>
      </w:pPr>
      <w:r>
        <w:rPr>
          <w:rFonts w:ascii="Arial" w:cs="Arial" w:eastAsia="Arial" w:hAnsi="Arial"/>
          <w:sz w:val="23"/>
          <w:szCs w:val="23"/>
        </w:rPr>
        <w:t xml:space="preserve">Les clés secrètes utilisées pour signer les tokens JWT, ainsi que les credentials OAuth des applications clientes, sont stockés dans Google Cloud Secret Manager, un service de gestion sécurisée des secrets qui chiffre les données au repos, contrôle finement les accès via IAM (Identity and Access Management), et journalise chaque accès pour la traçabilité.</w:t>
      </w:r>
    </w:p>
    <w:p>
      <w:pPr>
        <w:spacing w:after="0" w:before="120"/>
      </w:pPr>
    </w:p>
    <w:p>
      <w:pPr>
        <w:pStyle w:val="Heading2"/>
        <w:spacing w:after="180" w:before="360"/>
      </w:pPr>
      <w:r>
        <w:rPr>
          <w:rFonts w:ascii="Arial" w:cs="Arial" w:eastAsia="Arial" w:hAnsi="Arial"/>
          <w:b/>
          <w:bCs/>
          <w:color w:val="D4700A"/>
          <w:sz w:val="27"/>
          <w:szCs w:val="27"/>
        </w:rPr>
        <w:t xml:space="preserve">2.4 Protection des données et conformité RGPD</w:t>
      </w:r>
    </w:p>
    <w:p>
      <w:pPr>
        <w:spacing w:after="120" w:before="280"/>
      </w:pPr>
      <w:r>
        <w:rPr>
          <w:rFonts w:ascii="Arial" w:cs="Arial" w:eastAsia="Arial" w:hAnsi="Arial"/>
          <w:b/>
          <w:bCs/>
          <w:color w:val="333333"/>
          <w:sz w:val="24"/>
          <w:szCs w:val="24"/>
        </w:rPr>
        <w:t xml:space="preserve">2.4.1 Chiffrement des données personnelles</w:t>
      </w:r>
    </w:p>
    <w:p>
      <w:pPr>
        <w:spacing w:after="140" w:before="140" w:line="360"/>
        <w:jc w:val="both"/>
      </w:pPr>
      <w:r>
        <w:rPr>
          <w:rFonts w:ascii="Arial" w:cs="Arial" w:eastAsia="Arial" w:hAnsi="Arial"/>
          <w:sz w:val="23"/>
          <w:szCs w:val="23"/>
        </w:rPr>
        <w:t xml:space="preserve">Les données personnelles des clients stockées en base de données font l'objet d'un chiffrement au niveau de la couche applicative, en complément du chiffrement au repos assuré par GCP au niveau du disque. Les colonnes contenant des informations particulièrement sensibles (adresses email, numéros de téléphone) sont chiffrées avec l'algorithme AES-256 (Advanced Encryption Standard, clé de 256 bits) avant leur insertion en base. Cette mesure garantit que même en cas d'accès non autorisé à la base de données (par exemple suite à une injection SQL), les données extraites sont inexploitables sans la clé de déchiffrement.</w:t>
      </w:r>
    </w:p>
    <w:p>
      <w:pPr>
        <w:spacing w:after="140" w:before="140" w:line="360"/>
        <w:jc w:val="both"/>
      </w:pPr>
      <w:r>
        <w:rPr>
          <w:rFonts w:ascii="Arial" w:cs="Arial" w:eastAsia="Arial" w:hAnsi="Arial"/>
          <w:sz w:val="23"/>
          <w:szCs w:val="23"/>
        </w:rPr>
        <w:t xml:space="preserve">Les mots de passe des comptes clients ne sont jamais stockés en clair, ni même chiffrés de façon réversible. Ils sont hachés avec l'algorithme bcrypt, une fonction de hachage cryptographique spécialement conçue pour les mots de passe. bcrypt présente deux caractéristiques essentielles pour cet usage : il est intentionnellement lent (le coût computationnel est paramétrable et peut être augmenté à mesure que les processeurs deviennent plus puissants), ce qui rend les attaques par force brute impraticables à grande échelle, et il intègre un salt (valeur aléatoire unique par utilisateur) qui garantit que deux utilisateurs ayant le même mot de passe auront des hachés différents, rendant inutiles les attaques par tables précalculées.</w:t>
      </w:r>
    </w:p>
    <w:p>
      <w:pPr>
        <w:spacing w:after="120" w:before="280"/>
      </w:pPr>
      <w:r>
        <w:rPr>
          <w:rFonts w:ascii="Arial" w:cs="Arial" w:eastAsia="Arial" w:hAnsi="Arial"/>
          <w:b/>
          <w:bCs/>
          <w:color w:val="333333"/>
          <w:sz w:val="24"/>
          <w:szCs w:val="24"/>
        </w:rPr>
        <w:t xml:space="preserve">2.4.2 Mesures de conformité RGPD</w:t>
      </w:r>
    </w:p>
    <w:p>
      <w:pPr>
        <w:spacing w:after="140" w:before="140" w:line="360"/>
        <w:jc w:val="both"/>
      </w:pPr>
      <w:r>
        <w:rPr>
          <w:rFonts w:ascii="Arial" w:cs="Arial" w:eastAsia="Arial" w:hAnsi="Arial"/>
          <w:sz w:val="23"/>
          <w:szCs w:val="23"/>
        </w:rPr>
        <w:t xml:space="preserve">Le Règlement Général sur la Protection des Données impose des obligations précises aux organisations qui traitent des données personnelles de ressortissants européens. Dans le cadre du programme de fidélité, plusieurs mesures techniques ont été implémentées pour assurer la conformité du système à ces exigences.</w:t>
      </w:r>
    </w:p>
    <w:p>
      <w:pPr>
        <w:spacing w:after="140" w:before="140" w:line="360"/>
        <w:jc w:val="both"/>
      </w:pPr>
      <w:r>
        <w:rPr>
          <w:rFonts w:ascii="Arial" w:cs="Arial" w:eastAsia="Arial" w:hAnsi="Arial"/>
          <w:sz w:val="23"/>
          <w:szCs w:val="23"/>
        </w:rPr>
        <w:t xml:space="preserve">La collecte des données personnelles lors de l'inscription est précédée d'un recueil de consentement explicite et informé : le client est clairement informé des données collectées, de leur finalité (gestion du programme de fidélité, envoi de communications commerciales si le client y consent séparément), de la durée de conservation, et de ses droits. Ce consentement est enregistré en base de données avec son horodatage et la version des conditions acceptées, pour pouvoir en apporter la preuve en cas de demande de la CNIL.</w:t>
      </w:r>
    </w:p>
    <w:p>
      <w:pPr>
        <w:spacing w:after="140" w:before="140" w:line="360"/>
        <w:jc w:val="both"/>
      </w:pPr>
      <w:r>
        <w:rPr>
          <w:rFonts w:ascii="Arial" w:cs="Arial" w:eastAsia="Arial" w:hAnsi="Arial"/>
          <w:sz w:val="23"/>
          <w:szCs w:val="23"/>
        </w:rPr>
        <w:t xml:space="preserve">Le droit à l'effacement (ou droit à l'oubli) est implémenté via un endpoint API dédié permettant la suppression complète et vérifiable de l'ensemble des données d'un client sur demande. Cette suppression est en cascade : toutes les tables contenant des données liées au client sont purgées, et une confirmation d'exécution est journalisée. Les données de transaction conservées à des fins comptables obligatoires (durée légale de 10 ans) sont pseudonymisées plutôt que supprimées, conformément aux dérogations prévues par le RGPD pour les obligations légales.</w:t>
      </w:r>
    </w:p>
    <w:p>
      <w:pPr>
        <w:spacing w:after="140" w:before="140" w:line="360"/>
        <w:jc w:val="both"/>
      </w:pPr>
      <w:r>
        <w:rPr>
          <w:rFonts w:ascii="Arial" w:cs="Arial" w:eastAsia="Arial" w:hAnsi="Arial"/>
          <w:sz w:val="23"/>
          <w:szCs w:val="23"/>
        </w:rPr>
        <w:t xml:space="preserve">Un registre des activités de traitement (RoPA - Record of Processing Activities) a été rédigé pour documenter formellement chaque traitement de données personnelles : finalité du traitement, base légale (consentement, exécution d'un contrat, obligation légale), catégories de données traitées, durée de conservation, et mesures de sécurité associées. Ce document est mis à disposition des autorités de contrôle sur demande.</w:t>
      </w:r>
    </w:p>
    <w:p>
      <w:pPr>
        <w:spacing w:after="0" w:before="120"/>
      </w:pPr>
    </w:p>
    <w:p>
      <w:pPr>
        <w:pStyle w:val="Heading2"/>
        <w:spacing w:after="180" w:before="360"/>
      </w:pPr>
      <w:r>
        <w:rPr>
          <w:rFonts w:ascii="Arial" w:cs="Arial" w:eastAsia="Arial" w:hAnsi="Arial"/>
          <w:b/>
          <w:bCs/>
          <w:color w:val="D4700A"/>
          <w:sz w:val="27"/>
          <w:szCs w:val="27"/>
        </w:rPr>
        <w:t xml:space="preserve">2.5 Surveillance, monitoring et haute disponibilité</w:t>
      </w:r>
    </w:p>
    <w:p>
      <w:pPr>
        <w:spacing w:after="140" w:before="140" w:line="360"/>
        <w:jc w:val="both"/>
      </w:pPr>
      <w:r>
        <w:rPr>
          <w:rFonts w:ascii="Arial" w:cs="Arial" w:eastAsia="Arial" w:hAnsi="Arial"/>
          <w:sz w:val="23"/>
          <w:szCs w:val="23"/>
        </w:rPr>
        <w:t xml:space="preserve">La haute disponibilité du service de fidélité est une exigence non négociable : une indisponibilité du système en période d'activité commerciale intense (soldes, fêtes) aurait un impact direct sur l'expérience client et la perception de l'enseigne. L'architecture mise en place intègre plusieurs mécanismes de résilience complémentaires.</w:t>
      </w:r>
    </w:p>
    <w:p>
      <w:pPr>
        <w:spacing w:after="140" w:before="140" w:line="360"/>
        <w:jc w:val="both"/>
      </w:pPr>
      <w:r>
        <w:rPr>
          <w:rFonts w:ascii="Arial" w:cs="Arial" w:eastAsia="Arial" w:hAnsi="Arial"/>
          <w:sz w:val="23"/>
          <w:szCs w:val="23"/>
        </w:rPr>
        <w:t xml:space="preserve">Au niveau de la distribution de charge, Google Cloud Load Balancing répartit le trafic entrant entre deux instances identiques du serveur applicatif, déployées dans deux zones de disponibilité GCP distinctes. En cas de défaillance d'une instance, le load balancer détecte l'indisponibilité via des health checks périodiques et redirige automatiquement l'intégralité du trafic vers l'instance restante, sans interruption de service perceptible pour les utilisateurs.</w:t>
      </w:r>
    </w:p>
    <w:p>
      <w:pPr>
        <w:spacing w:after="140" w:before="140" w:line="360"/>
        <w:jc w:val="both"/>
      </w:pPr>
      <w:r>
        <w:rPr>
          <w:rFonts w:ascii="Arial" w:cs="Arial" w:eastAsia="Arial" w:hAnsi="Arial"/>
          <w:sz w:val="23"/>
          <w:szCs w:val="23"/>
        </w:rPr>
        <w:t xml:space="preserve">Le monitoring de l'infrastructure est assuré par une combinaison de Google Cloud Monitoring (pour les métriques d'infrastructure GCP), Prometheus (collecte de métriques applicatives personnalisées) et Grafana (visualisation des tableaux de bord en temps réel). Des alertes sont configurées pour notifier l'équipe technique par email et SMS lorsque des seuils critiques sont franchis : utilisation CPU supérieure à 80% sur une période prolongée, taux d'erreurs API supérieur à 1%, latence de réponse dépassant 500ms, ou espace disque disponible inférieur à 20%.</w:t>
      </w:r>
    </w:p>
    <w:p>
      <w:pPr>
        <w:spacing w:after="140" w:before="140" w:line="360"/>
        <w:jc w:val="both"/>
      </w:pPr>
      <w:r>
        <w:rPr>
          <w:rFonts w:ascii="Arial" w:cs="Arial" w:eastAsia="Arial" w:hAnsi="Arial"/>
          <w:sz w:val="23"/>
          <w:szCs w:val="23"/>
        </w:rPr>
        <w:t xml:space="preserve">Les logs applicatifs et système sont centralisés dans Google Cloud Logging, permettant une consultation et une analyse unifiées depuis une interface unique. Cette centralisation est indispensable pour le diagnostic rapide des incidents : en cas d'anomalie, il est possible de corréler les logs du serveur applicatif, de la base de données, du reverse proxy et du pare-feu pour identifier précisément la cause et la chronologie d'un incident.</w:t>
      </w:r>
    </w:p>
    <w:p>
      <w:pPr>
        <w:spacing w:after="0" w:before="120"/>
      </w:pPr>
    </w:p>
    <w:p>
      <w:pPr>
        <w:pStyle w:val="Heading2"/>
        <w:spacing w:after="180" w:before="360"/>
      </w:pPr>
      <w:r>
        <w:rPr>
          <w:rFonts w:ascii="Arial" w:cs="Arial" w:eastAsia="Arial" w:hAnsi="Arial"/>
          <w:b/>
          <w:bCs/>
          <w:color w:val="D4700A"/>
          <w:sz w:val="27"/>
          <w:szCs w:val="27"/>
        </w:rPr>
        <w:t xml:space="preserve">2.6 Documentation et procédures d'exploitation</w:t>
      </w:r>
    </w:p>
    <w:p>
      <w:pPr>
        <w:spacing w:after="140" w:before="140" w:line="360"/>
        <w:jc w:val="both"/>
      </w:pPr>
      <w:r>
        <w:rPr>
          <w:rFonts w:ascii="Arial" w:cs="Arial" w:eastAsia="Arial" w:hAnsi="Arial"/>
          <w:sz w:val="23"/>
          <w:szCs w:val="23"/>
        </w:rPr>
        <w:t xml:space="preserve">La documentation technique produite dans le cadre de ce projet constitue un livrable aussi important que l'infrastructure elle-même. Sans documentation, une infrastructure complexe devient une boîte noire dont la maintenance dépend entièrement des personnes qui l'ont construite, créant un risque opérationnel majeur en cas de changement d'équipe ou d'absence du technicien référent.</w:t>
      </w:r>
    </w:p>
    <w:p>
      <w:pPr>
        <w:spacing w:after="140" w:before="140" w:line="360"/>
        <w:jc w:val="both"/>
      </w:pPr>
      <w:r>
        <w:rPr>
          <w:rFonts w:ascii="Arial" w:cs="Arial" w:eastAsia="Arial" w:hAnsi="Arial"/>
          <w:sz w:val="23"/>
          <w:szCs w:val="23"/>
        </w:rPr>
        <w:t xml:space="preserve">J'ai rédigé un dossier d'architecture décrivant l'ensemble des composants du système, leurs rôles, leurs interactions et les choix techniques qui ont guidé leur sélection. Ce dossier inclut des schémas d'architecture réseau et système permettant de visualiser rapidement la topologie de l'infrastructure. Des procédures d'exploitation ont également été rédigées pour les opérations de maintenance récurrentes : déploiement d'une nouvelle version du backend, procédure de restauration d'une sauvegarde de la base de données, procédure de renouvellement manuel d'un certificat SSL en cas d'échec du renouvellement automatique, et procédure de basculement manuel sur l'instance de secours en cas de panne.</w:t>
      </w:r>
    </w:p>
    <w:p>
      <w:r>
        <w:br w:type="page"/>
      </w:r>
    </w:p>
    <w:p>
      <w:pPr>
        <w:pStyle w:val="Heading1"/>
        <w:pBdr>
          <w:bottom w:val="single" w:color="BF5700" w:sz="8" w:space="6"/>
        </w:pBdr>
        <w:spacing w:after="220" w:before="480"/>
      </w:pPr>
      <w:r>
        <w:rPr>
          <w:rFonts w:ascii="Arial" w:cs="Arial" w:eastAsia="Arial" w:hAnsi="Arial"/>
          <w:b/>
          <w:bCs/>
          <w:color w:val="BF5700"/>
          <w:sz w:val="34"/>
          <w:szCs w:val="34"/>
        </w:rPr>
        <w:t xml:space="preserve">3. Conclusion</w:t>
      </w:r>
    </w:p>
    <w:p>
      <w:pPr>
        <w:spacing w:after="140" w:before="140" w:line="360"/>
        <w:jc w:val="both"/>
      </w:pPr>
      <w:r>
        <w:rPr>
          <w:rFonts w:ascii="Arial" w:cs="Arial" w:eastAsia="Arial" w:hAnsi="Arial"/>
          <w:sz w:val="23"/>
          <w:szCs w:val="23"/>
        </w:rPr>
        <w:t xml:space="preserve">Le projet d'infrastructure du système de carte de fidélité représente l'aboutissement technique de mon alternance chez Maxi Market. Sa complexité et son envergure m'ont contraint à mobiliser simultanément l'ensemble des compétences du référentiel SISR : conception d'une architecture système hébergée dans le cloud, segmentation réseau par VLANs, configuration d'un pare-feu réseau avancé, sécurisation des échanges par TLS et VPN, authentification par OAuth 2.0 et JWT, chiffrement des données au repos et en transit, et mise en conformité RGPD. Rarement un projet m'a autant permis de mesurer la cohérence et l'interdépendance de ces différentes dimensions.</w:t>
      </w:r>
    </w:p>
    <w:p>
      <w:pPr>
        <w:spacing w:after="140" w:before="140" w:line="360"/>
        <w:jc w:val="both"/>
      </w:pPr>
      <w:r>
        <w:rPr>
          <w:rFonts w:ascii="Arial" w:cs="Arial" w:eastAsia="Arial" w:hAnsi="Arial"/>
          <w:sz w:val="23"/>
          <w:szCs w:val="23"/>
        </w:rPr>
        <w:t xml:space="preserve">Sur le plan architectural, ce projet m'a appris à penser un système dans sa globalité plutôt que de le traiter comme une succession de composants indépendants. Les décisions prises sur l'architecture réseau (VLANs, pfSense) ont des implications directes sur la sécurité applicative, qui elle-même conditionne la conformité RGPD. Cette vision systémique est une compétence que je considère comme centrale dans le profil d'un ingénieur ou technicien réseaux et systèmes.</w:t>
      </w:r>
    </w:p>
    <w:p>
      <w:pPr>
        <w:spacing w:after="140" w:before="140" w:line="360"/>
        <w:jc w:val="both"/>
      </w:pPr>
      <w:r>
        <w:rPr>
          <w:rFonts w:ascii="Arial" w:cs="Arial" w:eastAsia="Arial" w:hAnsi="Arial"/>
          <w:sz w:val="23"/>
          <w:szCs w:val="23"/>
        </w:rPr>
        <w:t xml:space="preserve">L'expérience acquise sur Google Cloud Platform a été particulièrement formatrice. La maîtrise des environnements cloud est devenue incontournable dans le monde professionnel actuel : la très grande majorité des nouvelles infrastructures sont déployées partiellement ou intégralement dans le cloud, et les compétences en cloud computing sont parmi les plus recherchées sur le marché de l'emploi dans le domaine de l'infrastructure IT.</w:t>
      </w:r>
    </w:p>
    <w:p>
      <w:pPr>
        <w:spacing w:after="140" w:before="140" w:line="360"/>
        <w:jc w:val="both"/>
      </w:pPr>
      <w:r>
        <w:rPr>
          <w:rFonts w:ascii="Arial" w:cs="Arial" w:eastAsia="Arial" w:hAnsi="Arial"/>
          <w:sz w:val="23"/>
          <w:szCs w:val="23"/>
        </w:rPr>
        <w:t xml:space="preserve">Enfin, la dimension RGPD de ce projet m'a sensibilisé à une réalité souvent négligée dans les formations techniques : un technicien réseaux et systèmes ne peut plus faire abstraction du cadre juridique dans lequel s'inscrivent les infrastructures qu'il déploie. La protection des données personnelles n'est pas qu'une contrainte légale : elle est le reflet du respect que l'entreprise porte à ses clients et à leurs données. Intégrer ces préoccupations dès la conception de l'infrastructure, plutôt que de les traiter comme une couche ajoutée après coup, est la marque d'une approche professionnelle mature.</w:t>
      </w:r>
    </w:p>
    <w:p>
      <w:pPr>
        <w:spacing w:after="0" w:before="400"/>
      </w:pPr>
    </w:p>
    <w:p>
      <w:pPr>
        <w:pBdr>
          <w:top w:val="single" w:color="BF5700" w:sz="8" w:space="8"/>
        </w:pBdr>
        <w:spacing w:before="200"/>
        <w:jc w:val="center"/>
      </w:pPr>
      <w:r>
        <w:rPr>
          <w:rFonts w:ascii="Arial" w:cs="Arial" w:eastAsia="Arial" w:hAnsi="Arial"/>
          <w:b/>
          <w:bCs/>
          <w:color w:val="BF5700"/>
          <w:sz w:val="22"/>
          <w:szCs w:val="22"/>
        </w:rPr>
        <w:t xml:space="preserve">Soulayman Taoufiqui  –  BTS SIO SISR  –  Maxi Market  –  2025/2026</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5700" w:sz="4" w:space="2"/>
      </w:pBdr>
      <w:jc w:val="center"/>
    </w:pPr>
    <w:r>
      <w:rPr>
        <w:rFonts w:ascii="Arial" w:cs="Arial" w:eastAsia="Arial" w:hAnsi="Arial"/>
        <w:color w:val="888888"/>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5700" w:sz="6" w:space="2"/>
      </w:pBdr>
    </w:pPr>
    <w:r>
      <w:rPr>
        <w:rFonts w:ascii="Arial" w:cs="Arial" w:eastAsia="Arial" w:hAnsi="Arial"/>
        <w:color w:val="888888"/>
        <w:sz w:val="18"/>
        <w:szCs w:val="18"/>
      </w:rPr>
      <w:t xml:space="preserve">BTS SIO SISR – Épreuve E5  |  Projet 3 : Infrastructure du système de carte de fidélité  |  Maxi Market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80"/>
      <w:outlineLvl w:val="0"/>
    </w:pPr>
    <w:rPr>
      <w:rFonts w:ascii="Arial" w:cs="Arial" w:eastAsia="Arial" w:hAnsi="Arial"/>
      <w:b/>
      <w:bCs/>
      <w:color w:val="BF5700"/>
      <w:sz w:val="34"/>
      <w:szCs w:val="34"/>
    </w:rPr>
  </w:style>
  <w:style w:type="paragraph" w:styleId="Heading2">
    <w:name w:val="Heading 2"/>
    <w:basedOn w:val="Normal"/>
    <w:next w:val="Normal"/>
    <w:qFormat/>
    <w:pPr>
      <w:spacing w:after="180" w:before="360"/>
      <w:outlineLvl w:val="1"/>
    </w:pPr>
    <w:rPr>
      <w:rFonts w:ascii="Arial" w:cs="Arial" w:eastAsia="Arial" w:hAnsi="Arial"/>
      <w:b/>
      <w:bCs/>
      <w:color w:val="D4700A"/>
      <w:sz w:val="27"/>
      <w:szCs w:val="27"/>
    </w:rPr>
  </w:style>
  <w:style w:type="paragraph" w:styleId="Heading3">
    <w:name w:val="Heading 3"/>
    <w:basedOn w:val="Normal"/>
    <w:next w:val="Normal"/>
    <w:qFormat/>
    <w:pPr>
      <w:spacing w:after="120" w:before="2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2026-04-02T11:15:33.316Z</dcterms:created>
  <dcterms:modified xsi:type="dcterms:W3CDTF">2026-04-02T11:15:33.317Z</dcterms:modified>
</cp:coreProperties>
</file>

<file path=docProps/custom.xml><?xml version="1.0" encoding="utf-8"?>
<Properties xmlns="http://schemas.openxmlformats.org/officeDocument/2006/custom-properties" xmlns:vt="http://schemas.openxmlformats.org/officeDocument/2006/docPropsVTypes"/>
</file>