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Spécifications techniques</w:t>
      </w:r>
    </w:p>
    <w:p>
      <w:r>
        <w:rPr>
          <w:sz w:val="22"/>
        </w:rPr>
        <w:t>Version finale</w:t>
      </w:r>
    </w:p>
    <w:p>
      <w:pPr>
        <w:pStyle w:val="Heading1"/>
      </w:pPr>
      <w:r>
        <w:t>Architecture</w:t>
      </w:r>
    </w:p>
    <w:p>
      <w:r>
        <w:rPr>
          <w:sz w:val="22"/>
        </w:rPr>
        <w:t>HTML/CSS/JavaScript statique, structure modulaire, assets organisés par catégories, optimisation SEO, responsive, architecture évolutive pour back-office futur.</w:t>
      </w:r>
    </w:p>
    <w:p>
      <w:pPr>
        <w:pStyle w:val="Heading1"/>
      </w:pPr>
      <w:r>
        <w:t>Préparation administration</w:t>
      </w:r>
    </w:p>
    <w:p>
      <w:r>
        <w:rPr>
          <w:sz w:val="22"/>
        </w:rPr>
        <w:t>Organisation des contenus permettant une future administration sans refonte.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