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Spécifications fonctionnelles détaillées</w:t>
      </w:r>
    </w:p>
    <w:p>
      <w:pPr>
        <w:jc w:val="center"/>
      </w:pPr>
      <w:r>
        <w:rPr>
          <w:color w:val="666666"/>
          <w:sz w:val="22"/>
        </w:rPr>
        <w:t>Site web public Faty Style</w:t>
      </w:r>
    </w:p>
    <w:p>
      <w:pPr>
        <w:jc w:val="center"/>
      </w:pPr>
      <w:r>
        <w:rPr>
          <w:b/>
          <w:color w:val="C8A97E"/>
          <w:sz w:val="18"/>
        </w:rPr>
        <w:t>Document SFD-WEB — Version 5.0 — 17 juillet 2026</w:t>
      </w:r>
    </w:p>
    <w:p/>
    <w:tbl>
      <w:tblPr>
        <w:tblStyle w:val="TableGrid"/>
        <w:tblW w:type="auto" w:w="0"/>
        <w:jc w:val="center"/>
        <w:tblLook w:firstColumn="1" w:firstRow="1" w:lastColumn="0" w:lastRow="0" w:noHBand="0" w:noVBand="1" w:val="04A0"/>
      </w:tblPr>
      <w:tblGrid>
        <w:gridCol w:w="5156"/>
        <w:gridCol w:w="5156"/>
      </w:tblGrid>
      <w:tr>
        <w:tc>
          <w:tcPr>
            <w:tcW w:type="dxa" w:w="5156"/>
            <w:shd w:fill="171717"/>
          </w:tcPr>
          <w:p>
            <w:r>
              <w:rPr>
                <w:b/>
                <w:color w:val="FFFFFF"/>
              </w:rPr>
              <w:t>Produit</w:t>
            </w:r>
          </w:p>
        </w:tc>
        <w:tc>
          <w:tcPr>
            <w:tcW w:type="dxa" w:w="5156"/>
          </w:tcPr>
          <w:p>
            <w:r>
              <w:t>Site public Faty Style</w:t>
            </w:r>
          </w:p>
        </w:tc>
      </w:tr>
      <w:tr>
        <w:tc>
          <w:tcPr>
            <w:tcW w:type="dxa" w:w="5156"/>
            <w:shd w:fill="171717"/>
          </w:tcPr>
          <w:p>
            <w:r>
              <w:rPr>
                <w:b/>
                <w:color w:val="FFFFFF"/>
              </w:rPr>
              <w:t>Pages</w:t>
            </w:r>
          </w:p>
        </w:tc>
        <w:tc>
          <w:tcPr>
            <w:tcW w:type="dxa" w:w="5156"/>
          </w:tcPr>
          <w:p>
            <w:r>
              <w:t>index.html, presentation.html, savoir-faire.html, pro.html, contact.html, message-envoye.html</w:t>
            </w:r>
          </w:p>
        </w:tc>
      </w:tr>
      <w:tr>
        <w:tc>
          <w:tcPr>
            <w:tcW w:type="dxa" w:w="5156"/>
            <w:shd w:fill="171717"/>
          </w:tcPr>
          <w:p>
            <w:r>
              <w:rPr>
                <w:b/>
                <w:color w:val="FFFFFF"/>
              </w:rPr>
              <w:t>Source de contenu</w:t>
            </w:r>
          </w:p>
        </w:tc>
        <w:tc>
          <w:tcPr>
            <w:tcW w:type="dxa" w:w="5156"/>
          </w:tcPr>
          <w:p>
            <w:r>
              <w:t>data/content.json et releases publiées par le CMS</w:t>
            </w:r>
          </w:p>
        </w:tc>
      </w:tr>
      <w:tr>
        <w:tc>
          <w:tcPr>
            <w:tcW w:type="dxa" w:w="5156"/>
            <w:shd w:fill="171717"/>
          </w:tcPr>
          <w:p>
            <w:r>
              <w:rPr>
                <w:b/>
                <w:color w:val="FFFFFF"/>
              </w:rPr>
              <w:t>Principe</w:t>
            </w:r>
          </w:p>
        </w:tc>
        <w:tc>
          <w:tcPr>
            <w:tcW w:type="dxa" w:w="5156"/>
          </w:tcPr>
          <w:p>
            <w:r>
              <w:t>Contenu validé par le client ; aucune modification éditoriale dans ce document</w:t>
            </w:r>
          </w:p>
        </w:tc>
      </w:tr>
    </w:tbl>
    <w:p/>
    <w:p>
      <w:pPr>
        <w:pStyle w:val="Heading1"/>
      </w:pPr>
      <w:r>
        <w:t>Sommaire</w:t>
      </w:r>
    </w:p>
    <w:p>
      <w:r>
        <w:t>1. Objet et périmètre</w:t>
      </w:r>
    </w:p>
    <w:p>
      <w:r>
        <w:t>2. Arborescence et navigation</w:t>
      </w:r>
    </w:p>
    <w:p>
      <w:r>
        <w:t>3. Spécifications par page</w:t>
      </w:r>
    </w:p>
    <w:p>
      <w:r>
        <w:t>4. Composants transverses</w:t>
      </w:r>
    </w:p>
    <w:p>
      <w:r>
        <w:t>5. Galeries et médias</w:t>
      </w:r>
    </w:p>
    <w:p>
      <w:r>
        <w:t>6. Formulaire et contacts</w:t>
      </w:r>
    </w:p>
    <w:p>
      <w:r>
        <w:t>7. Responsive et accessibilité</w:t>
      </w:r>
    </w:p>
    <w:p>
      <w:r>
        <w:t>8. SEO fonctionnel</w:t>
      </w:r>
    </w:p>
    <w:p>
      <w:r>
        <w:t>9. Critères de recette</w:t>
      </w:r>
    </w:p>
    <w:p>
      <w:r>
        <w:t>10. Hors périmètre</w:t>
      </w:r>
    </w:p>
    <w:p>
      <w:r>
        <w:br w:type="page"/>
      </w:r>
    </w:p>
    <w:p>
      <w:pPr>
        <w:pStyle w:val="Heading1"/>
      </w:pPr>
      <w:r>
        <w:t>1. Objet et périmètre</w:t>
      </w:r>
    </w:p>
    <w:p>
      <w:r>
        <w:t>Le site public présente Faty Style, atelier de couture à Limay, ses créations pour particuliers, son offre professionnelle, son titre de Maître Artisan en métier d’art et ses moyens de contact. Le site reste consultable indépendamment du CMS et de PostgreSQL grâce à une publication sous forme de fichiers et médias statiques.</w:t>
      </w:r>
    </w:p>
    <w:p>
      <w:pPr>
        <w:pStyle w:val="ListBullet"/>
      </w:pPr>
      <w:r>
        <w:t>Information et réassurance du visiteur</w:t>
      </w:r>
    </w:p>
    <w:p>
      <w:pPr>
        <w:pStyle w:val="ListBullet"/>
      </w:pPr>
      <w:r>
        <w:t>Valorisation du savoir-faire et des créations</w:t>
      </w:r>
    </w:p>
    <w:p>
      <w:pPr>
        <w:pStyle w:val="ListBullet"/>
      </w:pPr>
      <w:r>
        <w:t>Orientation vers les pages adaptées au besoin</w:t>
      </w:r>
    </w:p>
    <w:p>
      <w:pPr>
        <w:pStyle w:val="ListBullet"/>
      </w:pPr>
      <w:r>
        <w:t>Prise de contact par formulaire, téléphone, email, WhatsApp et réseaux sociaux</w:t>
      </w:r>
    </w:p>
    <w:p>
      <w:pPr>
        <w:pStyle w:val="ListBullet"/>
      </w:pPr>
      <w:r>
        <w:t>Référencement local et métier</w:t>
      </w:r>
    </w:p>
    <w:p>
      <w:pPr>
        <w:pStyle w:val="Heading1"/>
      </w:pPr>
      <w:r>
        <w:t>2. Arborescence et navigation</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171717"/>
            <w:vAlign w:val="center"/>
          </w:tcPr>
          <w:p>
            <w:r>
              <w:rPr>
                <w:b/>
                <w:color w:val="FFFFFF"/>
              </w:rPr>
              <w:t>Libellé</w:t>
            </w:r>
          </w:p>
        </w:tc>
        <w:tc>
          <w:tcPr>
            <w:tcW w:type="dxa" w:w="2578"/>
            <w:shd w:fill="171717"/>
            <w:vAlign w:val="center"/>
          </w:tcPr>
          <w:p>
            <w:r>
              <w:rPr>
                <w:b/>
                <w:color w:val="FFFFFF"/>
              </w:rPr>
              <w:t>Destination</w:t>
            </w:r>
          </w:p>
        </w:tc>
        <w:tc>
          <w:tcPr>
            <w:tcW w:type="dxa" w:w="2578"/>
            <w:shd w:fill="171717"/>
            <w:vAlign w:val="center"/>
          </w:tcPr>
          <w:p>
            <w:r>
              <w:rPr>
                <w:b/>
                <w:color w:val="FFFFFF"/>
              </w:rPr>
              <w:t>Type</w:t>
            </w:r>
          </w:p>
        </w:tc>
        <w:tc>
          <w:tcPr>
            <w:tcW w:type="dxa" w:w="2578"/>
            <w:shd w:fill="171717"/>
            <w:vAlign w:val="center"/>
          </w:tcPr>
          <w:p>
            <w:r>
              <w:rPr>
                <w:b/>
                <w:color w:val="FFFFFF"/>
              </w:rPr>
              <w:t>Visible</w:t>
            </w:r>
          </w:p>
        </w:tc>
      </w:tr>
      <w:tr>
        <w:tc>
          <w:tcPr>
            <w:tcW w:type="dxa" w:w="2578"/>
            <w:vAlign w:val="top"/>
          </w:tcPr>
          <w:p>
            <w:r>
              <w:t>Accueil</w:t>
            </w:r>
          </w:p>
        </w:tc>
        <w:tc>
          <w:tcPr>
            <w:tcW w:type="dxa" w:w="2578"/>
            <w:vAlign w:val="top"/>
          </w:tcPr>
          <w:p>
            <w:r>
              <w:t>index.html</w:t>
            </w:r>
          </w:p>
        </w:tc>
        <w:tc>
          <w:tcPr>
            <w:tcW w:type="dxa" w:w="2578"/>
            <w:vAlign w:val="top"/>
          </w:tcPr>
          <w:p>
            <w:r>
              <w:t>Lien interne</w:t>
            </w:r>
          </w:p>
        </w:tc>
        <w:tc>
          <w:tcPr>
            <w:tcW w:type="dxa" w:w="2578"/>
            <w:vAlign w:val="top"/>
          </w:tcPr>
          <w:p>
            <w:r>
              <w:t>True</w:t>
            </w:r>
          </w:p>
        </w:tc>
      </w:tr>
      <w:tr>
        <w:tc>
          <w:tcPr>
            <w:tcW w:type="dxa" w:w="2578"/>
            <w:vAlign w:val="top"/>
          </w:tcPr>
          <w:p>
            <w:r>
              <w:t>Présentation</w:t>
            </w:r>
          </w:p>
        </w:tc>
        <w:tc>
          <w:tcPr>
            <w:tcW w:type="dxa" w:w="2578"/>
            <w:vAlign w:val="top"/>
          </w:tcPr>
          <w:p>
            <w:r>
              <w:t>presentation.html</w:t>
            </w:r>
          </w:p>
        </w:tc>
        <w:tc>
          <w:tcPr>
            <w:tcW w:type="dxa" w:w="2578"/>
            <w:vAlign w:val="top"/>
          </w:tcPr>
          <w:p>
            <w:r>
              <w:t>Lien interne</w:t>
            </w:r>
          </w:p>
        </w:tc>
        <w:tc>
          <w:tcPr>
            <w:tcW w:type="dxa" w:w="2578"/>
            <w:vAlign w:val="top"/>
          </w:tcPr>
          <w:p>
            <w:r>
              <w:t>True</w:t>
            </w:r>
          </w:p>
        </w:tc>
      </w:tr>
      <w:tr>
        <w:tc>
          <w:tcPr>
            <w:tcW w:type="dxa" w:w="2578"/>
            <w:vAlign w:val="top"/>
          </w:tcPr>
          <w:p>
            <w:r>
              <w:t>Créations</w:t>
            </w:r>
          </w:p>
        </w:tc>
        <w:tc>
          <w:tcPr>
            <w:tcW w:type="dxa" w:w="2578"/>
            <w:vAlign w:val="top"/>
          </w:tcPr>
          <w:p>
            <w:r>
              <w:t>savoir-faire.html</w:t>
            </w:r>
          </w:p>
        </w:tc>
        <w:tc>
          <w:tcPr>
            <w:tcW w:type="dxa" w:w="2578"/>
            <w:vAlign w:val="top"/>
          </w:tcPr>
          <w:p>
            <w:r>
              <w:t>Lien interne</w:t>
            </w:r>
          </w:p>
        </w:tc>
        <w:tc>
          <w:tcPr>
            <w:tcW w:type="dxa" w:w="2578"/>
            <w:vAlign w:val="top"/>
          </w:tcPr>
          <w:p>
            <w:r>
              <w:t>True</w:t>
            </w:r>
          </w:p>
        </w:tc>
      </w:tr>
      <w:tr>
        <w:tc>
          <w:tcPr>
            <w:tcW w:type="dxa" w:w="2578"/>
            <w:vAlign w:val="top"/>
          </w:tcPr>
          <w:p>
            <w:r>
              <w:t>Professionnels</w:t>
            </w:r>
          </w:p>
        </w:tc>
        <w:tc>
          <w:tcPr>
            <w:tcW w:type="dxa" w:w="2578"/>
            <w:vAlign w:val="top"/>
          </w:tcPr>
          <w:p>
            <w:r>
              <w:t>pro.html</w:t>
            </w:r>
          </w:p>
        </w:tc>
        <w:tc>
          <w:tcPr>
            <w:tcW w:type="dxa" w:w="2578"/>
            <w:vAlign w:val="top"/>
          </w:tcPr>
          <w:p>
            <w:r>
              <w:t>Lien interne</w:t>
            </w:r>
          </w:p>
        </w:tc>
        <w:tc>
          <w:tcPr>
            <w:tcW w:type="dxa" w:w="2578"/>
            <w:vAlign w:val="top"/>
          </w:tcPr>
          <w:p>
            <w:r>
              <w:t>True</w:t>
            </w:r>
          </w:p>
        </w:tc>
      </w:tr>
      <w:tr>
        <w:tc>
          <w:tcPr>
            <w:tcW w:type="dxa" w:w="2578"/>
            <w:vAlign w:val="top"/>
          </w:tcPr>
          <w:p>
            <w:r>
              <w:t>Contact</w:t>
            </w:r>
          </w:p>
        </w:tc>
        <w:tc>
          <w:tcPr>
            <w:tcW w:type="dxa" w:w="2578"/>
            <w:vAlign w:val="top"/>
          </w:tcPr>
          <w:p>
            <w:r>
              <w:t>contact.html</w:t>
            </w:r>
          </w:p>
        </w:tc>
        <w:tc>
          <w:tcPr>
            <w:tcW w:type="dxa" w:w="2578"/>
            <w:vAlign w:val="top"/>
          </w:tcPr>
          <w:p>
            <w:r>
              <w:t>Lien interne</w:t>
            </w:r>
          </w:p>
        </w:tc>
        <w:tc>
          <w:tcPr>
            <w:tcW w:type="dxa" w:w="2578"/>
            <w:vAlign w:val="top"/>
          </w:tcPr>
          <w:p>
            <w:r>
              <w:t>True</w:t>
            </w:r>
          </w:p>
        </w:tc>
      </w:tr>
    </w:tbl>
    <w:p/>
    <w:p>
      <w:r>
        <w:t>La navigation principale doit être identique sur les pages publiques. Sur mobile, elle est présentée dans un menu compact accessible au clavier et refermable sans perte de focus. Le footer reprend les accès essentiels, les coordonnées et les réseaux officiels.</w:t>
      </w:r>
    </w:p>
    <w:p>
      <w:pPr>
        <w:pStyle w:val="Heading1"/>
      </w:pPr>
      <w:r>
        <w:t>3. Spécifications par page</w:t>
      </w:r>
    </w:p>
    <w:p>
      <w:pPr>
        <w:pStyle w:val="Heading2"/>
      </w:pPr>
      <w:r>
        <w:t>Accueil — index.html</w:t>
      </w:r>
    </w:p>
    <w:p>
      <w:r>
        <w:t>Présenter immédiatement l’activité et orienter vers les contenus majeurs</w:t>
      </w:r>
    </w:p>
    <w:p>
      <w:pPr>
        <w:pStyle w:val="ListBullet"/>
      </w:pPr>
      <w:r>
        <w:t>Hero avec marque, titre, description et CTA</w:t>
      </w:r>
    </w:p>
    <w:p>
      <w:pPr>
        <w:pStyle w:val="ListBullet"/>
      </w:pPr>
      <w:r>
        <w:t>Présentation courte de l’atelier</w:t>
      </w:r>
    </w:p>
    <w:p>
      <w:pPr>
        <w:pStyle w:val="ListBullet"/>
      </w:pPr>
      <w:r>
        <w:t>Bloc Maître Artisan en métier d’art</w:t>
      </w:r>
    </w:p>
    <w:p>
      <w:pPr>
        <w:pStyle w:val="ListBullet"/>
      </w:pPr>
      <w:r>
        <w:t>Aperçu des univers de créations</w:t>
      </w:r>
    </w:p>
    <w:p>
      <w:pPr>
        <w:pStyle w:val="ListBullet"/>
      </w:pPr>
      <w:r>
        <w:t>Avis Google et éléments de confiance</w:t>
      </w:r>
    </w:p>
    <w:p>
      <w:pPr>
        <w:pStyle w:val="ListBullet"/>
      </w:pPr>
      <w:r>
        <w:t>CTA vers présentation, créations et contact</w:t>
      </w:r>
    </w:p>
    <w:p>
      <w:pPr>
        <w:pStyle w:val="Heading2"/>
      </w:pPr>
      <w:r>
        <w:t>Présentation — presentation.html</w:t>
      </w:r>
    </w:p>
    <w:p>
      <w:r>
        <w:t>Expliquer l’histoire, le parcours et les prestations</w:t>
      </w:r>
    </w:p>
    <w:p>
      <w:pPr>
        <w:pStyle w:val="ListBullet"/>
      </w:pPr>
      <w:r>
        <w:t>Hero éditorial</w:t>
      </w:r>
    </w:p>
    <w:p>
      <w:pPr>
        <w:pStyle w:val="ListBullet"/>
      </w:pPr>
      <w:r>
        <w:t>Histoire de l’atelier</w:t>
      </w:r>
    </w:p>
    <w:p>
      <w:pPr>
        <w:pStyle w:val="ListBullet"/>
      </w:pPr>
      <w:r>
        <w:t>Parcours et valeurs</w:t>
      </w:r>
    </w:p>
    <w:p>
      <w:pPr>
        <w:pStyle w:val="ListBullet"/>
      </w:pPr>
      <w:r>
        <w:t>Prestations principales</w:t>
      </w:r>
    </w:p>
    <w:p>
      <w:pPr>
        <w:pStyle w:val="ListBullet"/>
      </w:pPr>
      <w:r>
        <w:t>Médias et éléments de réassurance</w:t>
      </w:r>
    </w:p>
    <w:p>
      <w:pPr>
        <w:pStyle w:val="ListBullet"/>
      </w:pPr>
      <w:r>
        <w:t>CTA vers contact et créations</w:t>
      </w:r>
    </w:p>
    <w:p>
      <w:pPr>
        <w:pStyle w:val="Heading2"/>
      </w:pPr>
      <w:r>
        <w:t>Créations — savoir-faire.html</w:t>
      </w:r>
    </w:p>
    <w:p>
      <w:r>
        <w:t>Présenter les univers et les galeries réelles de l’atelier</w:t>
      </w:r>
    </w:p>
    <w:p>
      <w:pPr>
        <w:pStyle w:val="ListBullet"/>
      </w:pPr>
      <w:r>
        <w:t>Cartes d’univers</w:t>
      </w:r>
    </w:p>
    <w:p>
      <w:pPr>
        <w:pStyle w:val="ListBullet"/>
      </w:pPr>
      <w:r>
        <w:t>Filtres de catégories</w:t>
      </w:r>
    </w:p>
    <w:p>
      <w:pPr>
        <w:pStyle w:val="ListBullet"/>
      </w:pPr>
      <w:r>
        <w:t>Galeries organisées par catégorie</w:t>
      </w:r>
    </w:p>
    <w:p>
      <w:pPr>
        <w:pStyle w:val="ListBullet"/>
      </w:pPr>
      <w:r>
        <w:t>Lightbox avec précédent/suivant</w:t>
      </w:r>
    </w:p>
    <w:p>
      <w:pPr>
        <w:pStyle w:val="ListBullet"/>
      </w:pPr>
      <w:r>
        <w:t>Navigation tactile, clavier et fermeture Échap</w:t>
      </w:r>
    </w:p>
    <w:p>
      <w:pPr>
        <w:pStyle w:val="ListBullet"/>
      </w:pPr>
      <w:r>
        <w:t>CTA de demande de devis</w:t>
      </w:r>
    </w:p>
    <w:p>
      <w:pPr>
        <w:pStyle w:val="Heading2"/>
      </w:pPr>
      <w:r>
        <w:t>Professionnels — pro.html</w:t>
      </w:r>
    </w:p>
    <w:p>
      <w:r>
        <w:t>Présenter l’offre B2B et les capacités techniques</w:t>
      </w:r>
    </w:p>
    <w:p>
      <w:pPr>
        <w:pStyle w:val="ListBullet"/>
      </w:pPr>
      <w:r>
        <w:t>Hero professionnel</w:t>
      </w:r>
    </w:p>
    <w:p>
      <w:pPr>
        <w:pStyle w:val="ListBullet"/>
      </w:pPr>
      <w:r>
        <w:t>Segments clients</w:t>
      </w:r>
    </w:p>
    <w:p>
      <w:pPr>
        <w:pStyle w:val="ListBullet"/>
      </w:pPr>
      <w:r>
        <w:t>Patronage et modélisme</w:t>
      </w:r>
    </w:p>
    <w:p>
      <w:pPr>
        <w:pStyle w:val="ListBullet"/>
      </w:pPr>
      <w:r>
        <w:t>Toiles et prototypes</w:t>
      </w:r>
    </w:p>
    <w:p>
      <w:pPr>
        <w:pStyle w:val="ListBullet"/>
      </w:pPr>
      <w:r>
        <w:t>Gradation</w:t>
      </w:r>
    </w:p>
    <w:p>
      <w:pPr>
        <w:pStyle w:val="ListBullet"/>
      </w:pPr>
      <w:r>
        <w:t>Découpe et préparation</w:t>
      </w:r>
    </w:p>
    <w:p>
      <w:pPr>
        <w:pStyle w:val="ListBullet"/>
      </w:pPr>
      <w:r>
        <w:t>Petites séries</w:t>
      </w:r>
    </w:p>
    <w:p>
      <w:pPr>
        <w:pStyle w:val="ListBullet"/>
      </w:pPr>
      <w:r>
        <w:t>Conseil et accompagnement</w:t>
      </w:r>
    </w:p>
    <w:p>
      <w:pPr>
        <w:pStyle w:val="ListBullet"/>
      </w:pPr>
      <w:r>
        <w:t>CTA professionnel prérempli</w:t>
      </w:r>
    </w:p>
    <w:p>
      <w:pPr>
        <w:pStyle w:val="Heading2"/>
      </w:pPr>
      <w:r>
        <w:t>Contact — contact.html</w:t>
      </w:r>
    </w:p>
    <w:p>
      <w:r>
        <w:t>Permettre une demande structurée et fournir les coordonnées</w:t>
      </w:r>
    </w:p>
    <w:p>
      <w:pPr>
        <w:pStyle w:val="ListBullet"/>
      </w:pPr>
      <w:r>
        <w:t>Coordonnées, adresse et horaires</w:t>
      </w:r>
    </w:p>
    <w:p>
      <w:pPr>
        <w:pStyle w:val="ListBullet"/>
      </w:pPr>
      <w:r>
        <w:t>Téléphone, email et WhatsApp</w:t>
      </w:r>
    </w:p>
    <w:p>
      <w:pPr>
        <w:pStyle w:val="ListBullet"/>
      </w:pPr>
      <w:r>
        <w:t>Facebook, Instagram, avis Google et carte</w:t>
      </w:r>
    </w:p>
    <w:p>
      <w:pPr>
        <w:pStyle w:val="ListBullet"/>
      </w:pPr>
      <w:r>
        <w:t>Formulaire avec type de demande</w:t>
      </w:r>
    </w:p>
    <w:p>
      <w:pPr>
        <w:pStyle w:val="ListBullet"/>
      </w:pPr>
      <w:r>
        <w:t>Consentement et messages de validation</w:t>
      </w:r>
    </w:p>
    <w:p>
      <w:pPr>
        <w:pStyle w:val="ListBullet"/>
      </w:pPr>
      <w:r>
        <w:t>Redirection vers message-envoye.html après succès</w:t>
      </w:r>
    </w:p>
    <w:p>
      <w:pPr>
        <w:pStyle w:val="Heading2"/>
      </w:pPr>
      <w:r>
        <w:t>Confirmation — message-envoye.html</w:t>
      </w:r>
    </w:p>
    <w:p>
      <w:r>
        <w:t>Confirmer l’envoi et proposer une suite</w:t>
      </w:r>
    </w:p>
    <w:p>
      <w:pPr>
        <w:pStyle w:val="ListBullet"/>
      </w:pPr>
      <w:r>
        <w:t>Message de confirmation</w:t>
      </w:r>
    </w:p>
    <w:p>
      <w:pPr>
        <w:pStyle w:val="ListBullet"/>
      </w:pPr>
      <w:r>
        <w:t>Référence de suivi si disponible</w:t>
      </w:r>
    </w:p>
    <w:p>
      <w:pPr>
        <w:pStyle w:val="ListBullet"/>
      </w:pPr>
      <w:r>
        <w:t>Retour à l’accueil</w:t>
      </w:r>
    </w:p>
    <w:p>
      <w:pPr>
        <w:pStyle w:val="ListBullet"/>
      </w:pPr>
      <w:r>
        <w:t>Accès aux moyens de contact alternatifs</w:t>
      </w:r>
    </w:p>
    <w:p>
      <w:pPr>
        <w:pStyle w:val="Heading1"/>
      </w:pPr>
      <w:r>
        <w:t>4. Composants transverses</w:t>
      </w:r>
    </w:p>
    <w:tbl>
      <w:tblPr>
        <w:tblStyle w:val="TableGrid"/>
        <w:tblW w:type="auto" w:w="0"/>
        <w:jc w:val="center"/>
        <w:tblLook w:firstColumn="1" w:firstRow="1" w:lastColumn="0" w:lastRow="0" w:noHBand="0" w:noVBand="1" w:val="04A0"/>
      </w:tblPr>
      <w:tblGrid>
        <w:gridCol w:w="5156"/>
        <w:gridCol w:w="5156"/>
      </w:tblGrid>
      <w:tr>
        <w:tc>
          <w:tcPr>
            <w:tcW w:type="dxa" w:w="5156"/>
            <w:shd w:fill="171717"/>
            <w:vAlign w:val="center"/>
          </w:tcPr>
          <w:p>
            <w:r>
              <w:rPr>
                <w:b/>
                <w:color w:val="FFFFFF"/>
              </w:rPr>
              <w:t>Composant</w:t>
            </w:r>
          </w:p>
        </w:tc>
        <w:tc>
          <w:tcPr>
            <w:tcW w:type="dxa" w:w="5156"/>
            <w:shd w:fill="171717"/>
            <w:vAlign w:val="center"/>
          </w:tcPr>
          <w:p>
            <w:r>
              <w:rPr>
                <w:b/>
                <w:color w:val="FFFFFF"/>
              </w:rPr>
              <w:t>Règle fonctionnelle</w:t>
            </w:r>
          </w:p>
        </w:tc>
      </w:tr>
      <w:tr>
        <w:tc>
          <w:tcPr>
            <w:tcW w:type="dxa" w:w="5156"/>
            <w:vAlign w:val="top"/>
          </w:tcPr>
          <w:p>
            <w:r>
              <w:t>Header</w:t>
            </w:r>
          </w:p>
        </w:tc>
        <w:tc>
          <w:tcPr>
            <w:tcW w:type="dxa" w:w="5156"/>
            <w:vAlign w:val="top"/>
          </w:tcPr>
          <w:p>
            <w:r>
              <w:t>Logo, navigation principale et CTA. Comportement cohérent sur toutes les pages.</w:t>
            </w:r>
          </w:p>
        </w:tc>
      </w:tr>
      <w:tr>
        <w:tc>
          <w:tcPr>
            <w:tcW w:type="dxa" w:w="5156"/>
            <w:vAlign w:val="top"/>
          </w:tcPr>
          <w:p>
            <w:r>
              <w:t>Footer</w:t>
            </w:r>
          </w:p>
        </w:tc>
        <w:tc>
          <w:tcPr>
            <w:tcW w:type="dxa" w:w="5156"/>
            <w:vAlign w:val="top"/>
          </w:tcPr>
          <w:p>
            <w:r>
              <w:t>Identité, navigation, contact, horaires, réseaux et copyright.</w:t>
            </w:r>
          </w:p>
        </w:tc>
      </w:tr>
      <w:tr>
        <w:tc>
          <w:tcPr>
            <w:tcW w:type="dxa" w:w="5156"/>
            <w:vAlign w:val="top"/>
          </w:tcPr>
          <w:p>
            <w:r>
              <w:t>WhatsApp</w:t>
            </w:r>
          </w:p>
        </w:tc>
        <w:tc>
          <w:tcPr>
            <w:tcW w:type="dxa" w:w="5156"/>
            <w:vAlign w:val="top"/>
          </w:tcPr>
          <w:p>
            <w:r>
              <w:t>Bouton flottant visible sans masquer le contenu et lien E.164.</w:t>
            </w:r>
          </w:p>
        </w:tc>
      </w:tr>
      <w:tr>
        <w:tc>
          <w:tcPr>
            <w:tcW w:type="dxa" w:w="5156"/>
            <w:vAlign w:val="top"/>
          </w:tcPr>
          <w:p>
            <w:r>
              <w:t>CTA</w:t>
            </w:r>
          </w:p>
        </w:tc>
        <w:tc>
          <w:tcPr>
            <w:tcW w:type="dxa" w:w="5156"/>
            <w:vAlign w:val="top"/>
          </w:tcPr>
          <w:p>
            <w:r>
              <w:t>Libellé explicite, destination valide et style cohérent.</w:t>
            </w:r>
          </w:p>
        </w:tc>
      </w:tr>
      <w:tr>
        <w:tc>
          <w:tcPr>
            <w:tcW w:type="dxa" w:w="5156"/>
            <w:vAlign w:val="top"/>
          </w:tcPr>
          <w:p>
            <w:r>
              <w:t>Liens externes</w:t>
            </w:r>
          </w:p>
        </w:tc>
        <w:tc>
          <w:tcPr>
            <w:tcW w:type="dxa" w:w="5156"/>
            <w:vAlign w:val="top"/>
          </w:tcPr>
          <w:p>
            <w:r>
              <w:t>Ouverture sécurisée dans un nouvel onglet lorsque pertinent.</w:t>
            </w:r>
          </w:p>
        </w:tc>
      </w:tr>
      <w:tr>
        <w:tc>
          <w:tcPr>
            <w:tcW w:type="dxa" w:w="5156"/>
            <w:vAlign w:val="top"/>
          </w:tcPr>
          <w:p>
            <w:r>
              <w:t>États d’erreur</w:t>
            </w:r>
          </w:p>
        </w:tc>
        <w:tc>
          <w:tcPr>
            <w:tcW w:type="dxa" w:w="5156"/>
            <w:vAlign w:val="top"/>
          </w:tcPr>
          <w:p>
            <w:r>
              <w:t>Message clair, aucune page blanche, solution alternative proposée.</w:t>
            </w:r>
          </w:p>
        </w:tc>
      </w:tr>
    </w:tbl>
    <w:p/>
    <w:p>
      <w:pPr>
        <w:pStyle w:val="Heading1"/>
      </w:pPr>
      <w:r>
        <w:t>5. Galeries et médias</w:t>
      </w:r>
    </w:p>
    <w:p>
      <w:pPr>
        <w:pStyle w:val="ListBullet"/>
      </w:pPr>
      <w:r>
        <w:t>Chaque carte d’univers affiche une couverture stable et une description validée.</w:t>
      </w:r>
    </w:p>
    <w:p>
      <w:pPr>
        <w:pStyle w:val="ListBullet"/>
      </w:pPr>
      <w:r>
        <w:t>Un clic sur une catégorie active son filtre et affiche uniquement les médias correspondants.</w:t>
      </w:r>
    </w:p>
    <w:p>
      <w:pPr>
        <w:pStyle w:val="ListBullet"/>
      </w:pPr>
      <w:r>
        <w:t>La lightbox conserve le contexte de catégorie.</w:t>
      </w:r>
    </w:p>
    <w:p>
      <w:pPr>
        <w:pStyle w:val="ListBullet"/>
      </w:pPr>
      <w:r>
        <w:t>Les images ne sont jamais déformées ; le recadrage suit le point focal ou un ratio prédéfini.</w:t>
      </w:r>
    </w:p>
    <w:p>
      <w:pPr>
        <w:pStyle w:val="ListBullet"/>
      </w:pPr>
      <w:r>
        <w:t>Les images hors premier écran utilisent le chargement différé.</w:t>
      </w:r>
    </w:p>
    <w:p>
      <w:pPr>
        <w:pStyle w:val="ListBullet"/>
      </w:pPr>
      <w:r>
        <w:t>Une image de secours est utilisée si un média manque.</w:t>
      </w:r>
    </w:p>
    <w:p>
      <w:pPr>
        <w:pStyle w:val="Heading1"/>
      </w:pPr>
      <w:r>
        <w:t>6. Formulaire et contacts</w:t>
      </w:r>
    </w:p>
    <w:p>
      <w:pPr>
        <w:pStyle w:val="ListBullet"/>
      </w:pPr>
      <w:r>
        <w:t>Validation côté navigateur et côté serveur</w:t>
      </w:r>
    </w:p>
    <w:p>
      <w:pPr>
        <w:pStyle w:val="ListBullet"/>
      </w:pPr>
      <w:r>
        <w:t>Honeypot et limitation de débit</w:t>
      </w:r>
    </w:p>
    <w:p>
      <w:pPr>
        <w:pStyle w:val="ListBullet"/>
      </w:pPr>
      <w:r>
        <w:t>Enregistrement de la demande en base avant notification</w:t>
      </w:r>
    </w:p>
    <w:p>
      <w:pPr>
        <w:pStyle w:val="ListBullet"/>
      </w:pPr>
      <w:r>
        <w:t>Conservation des champs en cas d’erreur</w:t>
      </w:r>
    </w:p>
    <w:p>
      <w:pPr>
        <w:pStyle w:val="ListBullet"/>
      </w:pPr>
      <w:r>
        <w:t>Accusé de réception et notification propriétaire selon configuration</w:t>
      </w:r>
    </w:p>
    <w:p>
      <w:pPr>
        <w:pStyle w:val="ListBullet"/>
      </w:pPr>
      <w:r>
        <w:t>Consentement non précoché et texte versionné</w:t>
      </w:r>
    </w:p>
    <w:p>
      <w:pPr>
        <w:pStyle w:val="ListBullet"/>
      </w:pPr>
      <w:r>
        <w:t>Statut, assignation et notes internes dans le CMS</w:t>
      </w:r>
    </w:p>
    <w:p>
      <w:pPr>
        <w:pStyle w:val="Heading1"/>
      </w:pPr>
      <w:r>
        <w:t>7. Responsive et accessibilité</w:t>
      </w:r>
    </w:p>
    <w:p>
      <w:pPr>
        <w:pStyle w:val="ListBullet"/>
      </w:pPr>
      <w:r>
        <w:t>Aucun débordement horizontal</w:t>
      </w:r>
    </w:p>
    <w:p>
      <w:pPr>
        <w:pStyle w:val="ListBullet"/>
      </w:pPr>
      <w:r>
        <w:t>Menu mobile fonctionnel</w:t>
      </w:r>
    </w:p>
    <w:p>
      <w:pPr>
        <w:pStyle w:val="ListBullet"/>
      </w:pPr>
      <w:r>
        <w:t>Zones tactiles suffisantes</w:t>
      </w:r>
    </w:p>
    <w:p>
      <w:pPr>
        <w:pStyle w:val="ListBullet"/>
      </w:pPr>
      <w:r>
        <w:t>Focus visible</w:t>
      </w:r>
    </w:p>
    <w:p>
      <w:pPr>
        <w:pStyle w:val="ListBullet"/>
      </w:pPr>
      <w:r>
        <w:t>Contrastes lisibles</w:t>
      </w:r>
    </w:p>
    <w:p>
      <w:pPr>
        <w:pStyle w:val="ListBullet"/>
      </w:pPr>
      <w:r>
        <w:t>Navigation clavier des menus, galeries et formulaires</w:t>
      </w:r>
    </w:p>
    <w:p>
      <w:pPr>
        <w:pStyle w:val="ListBullet"/>
      </w:pPr>
      <w:r>
        <w:t>Alt pertinent ou média déclaré décoratif</w:t>
      </w:r>
    </w:p>
    <w:p>
      <w:pPr>
        <w:pStyle w:val="ListBullet"/>
      </w:pPr>
      <w:r>
        <w:t>Structure de titres cohérente</w:t>
      </w:r>
    </w:p>
    <w:p>
      <w:pPr>
        <w:pStyle w:val="Heading1"/>
      </w:pPr>
      <w:r>
        <w:t>8. SEO fonctionnel</w:t>
      </w:r>
    </w:p>
    <w:p>
      <w:pPr>
        <w:pStyle w:val="ListBullet"/>
      </w:pPr>
      <w:r>
        <w:t>Title et description uniques par page</w:t>
      </w:r>
    </w:p>
    <w:p>
      <w:pPr>
        <w:pStyle w:val="ListBullet"/>
      </w:pPr>
      <w:r>
        <w:t>Un seul H1 par page</w:t>
      </w:r>
    </w:p>
    <w:p>
      <w:pPr>
        <w:pStyle w:val="ListBullet"/>
      </w:pPr>
      <w:r>
        <w:t>Canonical vers le domaine final</w:t>
      </w:r>
    </w:p>
    <w:p>
      <w:pPr>
        <w:pStyle w:val="ListBullet"/>
      </w:pPr>
      <w:r>
        <w:t>Open Graph et image sociale</w:t>
      </w:r>
    </w:p>
    <w:p>
      <w:pPr>
        <w:pStyle w:val="ListBullet"/>
      </w:pPr>
      <w:r>
        <w:t>Données structurées selon contenu réel</w:t>
      </w:r>
    </w:p>
    <w:p>
      <w:pPr>
        <w:pStyle w:val="ListBullet"/>
      </w:pPr>
      <w:r>
        <w:t>Sitemap et robots.txt cohérents</w:t>
      </w:r>
    </w:p>
    <w:p>
      <w:pPr>
        <w:pStyle w:val="ListBullet"/>
      </w:pPr>
      <w:r>
        <w:t>Environnements de recette et administration en noindex</w:t>
      </w:r>
    </w:p>
    <w:p>
      <w:pPr>
        <w:pStyle w:val="ListBullet"/>
      </w:pPr>
      <w:r>
        <w:t>Redirection 301 en cas de changement d’URL</w:t>
      </w:r>
    </w:p>
    <w:p>
      <w:pPr>
        <w:pStyle w:val="Heading1"/>
      </w:pPr>
      <w:r>
        <w:t>9. Critères de recette</w:t>
      </w:r>
    </w:p>
    <w:p>
      <w:pPr>
        <w:pStyle w:val="ListBullet"/>
      </w:pPr>
      <w:r>
        <w:t>Toutes les pages et liens sont accessibles</w:t>
      </w:r>
    </w:p>
    <w:p>
      <w:pPr>
        <w:pStyle w:val="ListBullet"/>
      </w:pPr>
      <w:r>
        <w:t>Aucune image ou ressource manquante</w:t>
      </w:r>
    </w:p>
    <w:p>
      <w:pPr>
        <w:pStyle w:val="ListBullet"/>
      </w:pPr>
      <w:r>
        <w:t>Toutes les galeries fonctionnent sur desktop et mobile</w:t>
      </w:r>
    </w:p>
    <w:p>
      <w:pPr>
        <w:pStyle w:val="ListBullet"/>
      </w:pPr>
      <w:r>
        <w:t>Le formulaire conserve la demande si l’email échoue</w:t>
      </w:r>
    </w:p>
    <w:p>
      <w:pPr>
        <w:pStyle w:val="ListBullet"/>
      </w:pPr>
      <w:r>
        <w:t>Les CTA ouvrent la bonne destination</w:t>
      </w:r>
    </w:p>
    <w:p>
      <w:pPr>
        <w:pStyle w:val="ListBullet"/>
      </w:pPr>
      <w:r>
        <w:t>Aucune référence à l’ancien template ou à un autre métier</w:t>
      </w:r>
    </w:p>
    <w:p>
      <w:pPr>
        <w:pStyle w:val="ListBullet"/>
      </w:pPr>
      <w:r>
        <w:t>Le contenu validé n’a pas été modifié</w:t>
      </w:r>
    </w:p>
    <w:p>
      <w:pPr>
        <w:pStyle w:val="Heading1"/>
      </w:pPr>
      <w:r>
        <w:t>10. Hors périmètre</w:t>
      </w:r>
    </w:p>
    <w:p>
      <w:pPr>
        <w:pStyle w:val="ListBullet"/>
      </w:pPr>
      <w:r>
        <w:t>E-commerce</w:t>
      </w:r>
    </w:p>
    <w:p>
      <w:pPr>
        <w:pStyle w:val="ListBullet"/>
      </w:pPr>
      <w:r>
        <w:t>Paiement en ligne</w:t>
      </w:r>
    </w:p>
    <w:p>
      <w:pPr>
        <w:pStyle w:val="ListBullet"/>
      </w:pPr>
      <w:r>
        <w:t>Réservation en ligne</w:t>
      </w:r>
    </w:p>
    <w:p>
      <w:pPr>
        <w:pStyle w:val="ListBullet"/>
      </w:pPr>
      <w:r>
        <w:t>CRM complet</w:t>
      </w:r>
    </w:p>
    <w:p>
      <w:pPr>
        <w:pStyle w:val="ListBullet"/>
      </w:pPr>
      <w:r>
        <w:t>Application mobile native</w:t>
      </w:r>
    </w:p>
    <w:p>
      <w:pPr>
        <w:pStyle w:val="ListBullet"/>
      </w:pPr>
      <w:r>
        <w:t>Modification libre du design par le visiteur ou l’administrateur</w:t>
      </w:r>
    </w:p>
    <w:sectPr w:rsidR="00FC693F" w:rsidRPr="0006063C" w:rsidSect="00034616">
      <w:footerReference w:type="default" r:id="rId9"/>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Faty Style — SFD-WEB — Version 5.0</w:t>
    </w:r>
  </w:p>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71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400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C400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