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Spécifications techniques détaillées</w:t>
      </w:r>
    </w:p>
    <w:p>
      <w:pPr>
        <w:jc w:val="center"/>
      </w:pPr>
      <w:r>
        <w:rPr>
          <w:color w:val="666666"/>
          <w:sz w:val="22"/>
        </w:rPr>
        <w:t>Administration Faty Style</w:t>
      </w:r>
    </w:p>
    <w:p>
      <w:pPr>
        <w:jc w:val="center"/>
      </w:pPr>
      <w:r>
        <w:rPr>
          <w:b/>
          <w:color w:val="C8A97E"/>
          <w:sz w:val="18"/>
        </w:rPr>
        <w:t>Document STD-ADMIN — Version 5.0 — 17 juillet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1717"/>
          </w:tcPr>
          <w:p>
            <w:r>
              <w:rPr>
                <w:b/>
                <w:color w:val="FFFFFF"/>
              </w:rPr>
              <w:t>Framework</w:t>
            </w:r>
          </w:p>
        </w:tc>
        <w:tc>
          <w:tcPr>
            <w:tcW w:type="dxa" w:w="5156"/>
          </w:tcPr>
          <w:p>
            <w:r>
              <w:t>Laravel 13</w:t>
            </w:r>
          </w:p>
        </w:tc>
      </w:tr>
      <w:tr>
        <w:tc>
          <w:tcPr>
            <w:tcW w:type="dxa" w:w="5156"/>
            <w:shd w:fill="171717"/>
          </w:tcPr>
          <w:p>
            <w:r>
              <w:rPr>
                <w:b/>
                <w:color w:val="FFFFFF"/>
              </w:rPr>
              <w:t>Interface</w:t>
            </w:r>
          </w:p>
        </w:tc>
        <w:tc>
          <w:tcPr>
            <w:tcW w:type="dxa" w:w="5156"/>
          </w:tcPr>
          <w:p>
            <w:r>
              <w:t>Filament 5 / Livewire 4</w:t>
            </w:r>
          </w:p>
        </w:tc>
      </w:tr>
      <w:tr>
        <w:tc>
          <w:tcPr>
            <w:tcW w:type="dxa" w:w="5156"/>
            <w:shd w:fill="171717"/>
          </w:tcPr>
          <w:p>
            <w:r>
              <w:rPr>
                <w:b/>
                <w:color w:val="FFFFFF"/>
              </w:rPr>
              <w:t>Base</w:t>
            </w:r>
          </w:p>
        </w:tc>
        <w:tc>
          <w:tcPr>
            <w:tcW w:type="dxa" w:w="5156"/>
          </w:tcPr>
          <w:p>
            <w:r>
              <w:t>PostgreSQL 18</w:t>
            </w:r>
          </w:p>
        </w:tc>
      </w:tr>
      <w:tr>
        <w:tc>
          <w:tcPr>
            <w:tcW w:type="dxa" w:w="5156"/>
            <w:shd w:fill="171717"/>
          </w:tcPr>
          <w:p>
            <w:r>
              <w:rPr>
                <w:b/>
                <w:color w:val="FFFFFF"/>
              </w:rPr>
              <w:t>Publication</w:t>
            </w:r>
          </w:p>
        </w:tc>
        <w:tc>
          <w:tcPr>
            <w:tcW w:type="dxa" w:w="5156"/>
          </w:tcPr>
          <w:p>
            <w:r>
              <w:t>Releases publiques immuables et atomiques</w:t>
            </w:r>
          </w:p>
        </w:tc>
      </w:tr>
    </w:tbl>
    <w:p/>
    <w:p>
      <w:pPr>
        <w:pStyle w:val="Heading1"/>
      </w:pPr>
      <w:r>
        <w:t>Sommaire</w:t>
      </w:r>
    </w:p>
    <w:p>
      <w:r>
        <w:t>1. Architecture</w:t>
      </w:r>
    </w:p>
    <w:p>
      <w:r>
        <w:t>2. Modèle de données</w:t>
      </w:r>
    </w:p>
    <w:p>
      <w:r>
        <w:t>3. Authentification</w:t>
      </w:r>
    </w:p>
    <w:p>
      <w:r>
        <w:t>4. Permissions</w:t>
      </w:r>
    </w:p>
    <w:p>
      <w:r>
        <w:t>5. Publication</w:t>
      </w:r>
    </w:p>
    <w:p>
      <w:r>
        <w:t>6. Médias</w:t>
      </w:r>
    </w:p>
    <w:p>
      <w:r>
        <w:t>7. Formulaires</w:t>
      </w:r>
    </w:p>
    <w:p>
      <w:r>
        <w:t>8. Sauvegardes</w:t>
      </w:r>
    </w:p>
    <w:p>
      <w:r>
        <w:t>9. Sécurité</w:t>
      </w:r>
    </w:p>
    <w:p>
      <w:r>
        <w:t>10. Environnements</w:t>
      </w:r>
    </w:p>
    <w:p>
      <w:r>
        <w:t>11. Planification</w:t>
      </w:r>
    </w:p>
    <w:p>
      <w:r>
        <w:t>12. Tests</w:t>
      </w:r>
    </w:p>
    <w:p>
      <w:r>
        <w:t>13. Exploitation</w:t>
      </w:r>
    </w:p>
    <w:p>
      <w:r>
        <w:br w:type="page"/>
      </w:r>
    </w:p>
    <w:p>
      <w:pPr>
        <w:pStyle w:val="Heading1"/>
      </w:pPr>
      <w:r>
        <w:t>1. Architecture</w:t>
      </w:r>
    </w:p>
    <w:p>
      <w:pPr>
        <w:pStyle w:val="ListBullet"/>
      </w:pPr>
      <w:r>
        <w:t>Identity</w:t>
      </w:r>
    </w:p>
    <w:p>
      <w:pPr>
        <w:pStyle w:val="ListBullet"/>
      </w:pPr>
      <w:r>
        <w:t>Content</w:t>
      </w:r>
    </w:p>
    <w:p>
      <w:pPr>
        <w:pStyle w:val="ListBullet"/>
      </w:pPr>
      <w:r>
        <w:t>Publishing</w:t>
      </w:r>
    </w:p>
    <w:p>
      <w:pPr>
        <w:pStyle w:val="ListBullet"/>
      </w:pPr>
      <w:r>
        <w:t>Media</w:t>
      </w:r>
    </w:p>
    <w:p>
      <w:pPr>
        <w:pStyle w:val="ListBullet"/>
      </w:pPr>
      <w:r>
        <w:t>Contact</w:t>
      </w:r>
    </w:p>
    <w:p>
      <w:pPr>
        <w:pStyle w:val="ListBullet"/>
      </w:pPr>
      <w:r>
        <w:t>SEO</w:t>
      </w:r>
    </w:p>
    <w:p>
      <w:pPr>
        <w:pStyle w:val="ListBullet"/>
      </w:pPr>
      <w:r>
        <w:t>Operations</w:t>
      </w:r>
    </w:p>
    <w:p>
      <w:r>
        <w:t>Les visiteurs ne sollicitent pas la base. L’administration génère une release JSON et des médias publics, contrôle l’intégrité puis bascule les liens symboliques.</w:t>
      </w:r>
    </w:p>
    <w:p>
      <w:pPr>
        <w:pStyle w:val="Heading1"/>
      </w:pPr>
      <w:r>
        <w:t>2. Modèle de données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1717"/>
            <w:vAlign w:val="center"/>
          </w:tcPr>
          <w:p>
            <w:r>
              <w:rPr>
                <w:b/>
                <w:color w:val="FFFFFF"/>
              </w:rPr>
              <w:t>Entité</w:t>
            </w:r>
          </w:p>
        </w:tc>
        <w:tc>
          <w:tcPr>
            <w:tcW w:type="dxa" w:w="5156"/>
            <w:shd w:fill="171717"/>
            <w:vAlign w:val="center"/>
          </w:tcPr>
          <w:p>
            <w:r>
              <w:rPr>
                <w:b/>
                <w:color w:val="FFFFFF"/>
              </w:rPr>
              <w:t>Responsabilité</w:t>
            </w:r>
          </w:p>
        </w:tc>
      </w:tr>
      <w:tr>
        <w:tc>
          <w:tcPr>
            <w:tcW w:type="dxa" w:w="5156"/>
            <w:vAlign w:val="top"/>
          </w:tcPr>
          <w:p>
            <w:r>
              <w:t>User</w:t>
            </w:r>
          </w:p>
        </w:tc>
        <w:tc>
          <w:tcPr>
            <w:tcW w:type="dxa" w:w="5156"/>
            <w:vAlign w:val="top"/>
          </w:tcPr>
          <w:p>
            <w:r>
              <w:t>Compte, état, rôles, 2FA et sessions</w:t>
            </w:r>
          </w:p>
        </w:tc>
      </w:tr>
      <w:tr>
        <w:tc>
          <w:tcPr>
            <w:tcW w:type="dxa" w:w="5156"/>
            <w:vAlign w:val="top"/>
          </w:tcPr>
          <w:p>
            <w:r>
              <w:t>Page / PageTranslation</w:t>
            </w:r>
          </w:p>
        </w:tc>
        <w:tc>
          <w:tcPr>
            <w:tcW w:type="dxa" w:w="5156"/>
            <w:vAlign w:val="top"/>
          </w:tcPr>
          <w:p>
            <w:r>
              <w:t>Structure et contenu traduit</w:t>
            </w:r>
          </w:p>
        </w:tc>
      </w:tr>
      <w:tr>
        <w:tc>
          <w:tcPr>
            <w:tcW w:type="dxa" w:w="5156"/>
            <w:vAlign w:val="top"/>
          </w:tcPr>
          <w:p>
            <w:r>
              <w:t>PageBlock / Translation</w:t>
            </w:r>
          </w:p>
        </w:tc>
        <w:tc>
          <w:tcPr>
            <w:tcW w:type="dxa" w:w="5156"/>
            <w:vAlign w:val="top"/>
          </w:tcPr>
          <w:p>
            <w:r>
              <w:t>Blocs validés et ordre</w:t>
            </w:r>
          </w:p>
        </w:tc>
      </w:tr>
      <w:tr>
        <w:tc>
          <w:tcPr>
            <w:tcW w:type="dxa" w:w="5156"/>
            <w:vAlign w:val="top"/>
          </w:tcPr>
          <w:p>
            <w:r>
              <w:t>PageVersion</w:t>
            </w:r>
          </w:p>
        </w:tc>
        <w:tc>
          <w:tcPr>
            <w:tcW w:type="dxa" w:w="5156"/>
            <w:vAlign w:val="top"/>
          </w:tcPr>
          <w:p>
            <w:r>
              <w:t>Snapshot immuable</w:t>
            </w:r>
          </w:p>
        </w:tc>
      </w:tr>
      <w:tr>
        <w:tc>
          <w:tcPr>
            <w:tcW w:type="dxa" w:w="5156"/>
            <w:vAlign w:val="top"/>
          </w:tcPr>
          <w:p>
            <w:r>
              <w:t>Service</w:t>
            </w:r>
          </w:p>
        </w:tc>
        <w:tc>
          <w:tcPr>
            <w:tcW w:type="dxa" w:w="5156"/>
            <w:vAlign w:val="top"/>
          </w:tcPr>
          <w:p>
            <w:r>
              <w:t>Prestation et workflow</w:t>
            </w:r>
          </w:p>
        </w:tc>
      </w:tr>
      <w:tr>
        <w:tc>
          <w:tcPr>
            <w:tcW w:type="dxa" w:w="5156"/>
            <w:vAlign w:val="top"/>
          </w:tcPr>
          <w:p>
            <w:r>
              <w:t>CreationCategory</w:t>
            </w:r>
          </w:p>
        </w:tc>
        <w:tc>
          <w:tcPr>
            <w:tcW w:type="dxa" w:w="5156"/>
            <w:vAlign w:val="top"/>
          </w:tcPr>
          <w:p>
            <w:r>
              <w:t>Univers et galerie</w:t>
            </w:r>
          </w:p>
        </w:tc>
      </w:tr>
      <w:tr>
        <w:tc>
          <w:tcPr>
            <w:tcW w:type="dxa" w:w="5156"/>
            <w:vAlign w:val="top"/>
          </w:tcPr>
          <w:p>
            <w:r>
              <w:t>MediaAsset / Variant / Usage</w:t>
            </w:r>
          </w:p>
        </w:tc>
        <w:tc>
          <w:tcPr>
            <w:tcW w:type="dxa" w:w="5156"/>
            <w:vAlign w:val="top"/>
          </w:tcPr>
          <w:p>
            <w:r>
              <w:t>Originaux, variantes et relations</w:t>
            </w:r>
          </w:p>
        </w:tc>
      </w:tr>
      <w:tr>
        <w:tc>
          <w:tcPr>
            <w:tcW w:type="dxa" w:w="5156"/>
            <w:vAlign w:val="top"/>
          </w:tcPr>
          <w:p>
            <w:r>
              <w:t>ContactRequest</w:t>
            </w:r>
          </w:p>
        </w:tc>
        <w:tc>
          <w:tcPr>
            <w:tcW w:type="dxa" w:w="5156"/>
            <w:vAlign w:val="top"/>
          </w:tcPr>
          <w:p>
            <w:r>
              <w:t>Demande, consentement, statut et assignation</w:t>
            </w:r>
          </w:p>
        </w:tc>
      </w:tr>
      <w:tr>
        <w:tc>
          <w:tcPr>
            <w:tcW w:type="dxa" w:w="5156"/>
            <w:vAlign w:val="top"/>
          </w:tcPr>
          <w:p>
            <w:r>
              <w:t>PublicationRelease</w:t>
            </w:r>
          </w:p>
        </w:tc>
        <w:tc>
          <w:tcPr>
            <w:tcW w:type="dxa" w:w="5156"/>
            <w:vAlign w:val="top"/>
          </w:tcPr>
          <w:p>
            <w:r>
              <w:t>Release et rollback</w:t>
            </w:r>
          </w:p>
        </w:tc>
      </w:tr>
      <w:tr>
        <w:tc>
          <w:tcPr>
            <w:tcW w:type="dxa" w:w="5156"/>
            <w:vAlign w:val="top"/>
          </w:tcPr>
          <w:p>
            <w:r>
              <w:t>RedirectRule</w:t>
            </w:r>
          </w:p>
        </w:tc>
        <w:tc>
          <w:tcPr>
            <w:tcW w:type="dxa" w:w="5156"/>
            <w:vAlign w:val="top"/>
          </w:tcPr>
          <w:p>
            <w:r>
              <w:t>Redirections SEO</w:t>
            </w:r>
          </w:p>
        </w:tc>
      </w:tr>
      <w:tr>
        <w:tc>
          <w:tcPr>
            <w:tcW w:type="dxa" w:w="5156"/>
            <w:vAlign w:val="top"/>
          </w:tcPr>
          <w:p>
            <w:r>
              <w:t>Backup</w:t>
            </w:r>
          </w:p>
        </w:tc>
        <w:tc>
          <w:tcPr>
            <w:tcW w:type="dxa" w:w="5156"/>
            <w:vAlign w:val="top"/>
          </w:tcPr>
          <w:p>
            <w:r>
              <w:t>Métadonnées, checksum et restauration</w:t>
            </w:r>
          </w:p>
        </w:tc>
      </w:tr>
    </w:tbl>
    <w:p/>
    <w:p>
      <w:pPr>
        <w:pStyle w:val="Heading1"/>
      </w:pPr>
      <w:r>
        <w:t>3. Authentification</w:t>
      </w:r>
    </w:p>
    <w:p>
      <w:pPr>
        <w:pStyle w:val="ListBullet"/>
      </w:pPr>
      <w:r>
        <w:t>Mot de passe Argon2id</w:t>
      </w:r>
    </w:p>
    <w:p>
      <w:pPr>
        <w:pStyle w:val="ListBullet"/>
      </w:pPr>
      <w:r>
        <w:t>TOTP obligatoire pour super-admin</w:t>
      </w:r>
    </w:p>
    <w:p>
      <w:pPr>
        <w:pStyle w:val="ListBullet"/>
      </w:pPr>
      <w:r>
        <w:t>Codes de récupération chiffrés</w:t>
      </w:r>
    </w:p>
    <w:p>
      <w:pPr>
        <w:pStyle w:val="ListBullet"/>
      </w:pPr>
      <w:r>
        <w:t>Cookies Secure/HttpOnly/SameSite en production</w:t>
      </w:r>
    </w:p>
    <w:p>
      <w:pPr>
        <w:pStyle w:val="ListBullet"/>
      </w:pPr>
      <w:r>
        <w:t>Révocation et expiration des sessions</w:t>
      </w:r>
    </w:p>
    <w:p>
      <w:pPr>
        <w:pStyle w:val="ListBullet"/>
      </w:pPr>
      <w:r>
        <w:t>Throttle de connexion</w:t>
      </w:r>
    </w:p>
    <w:p>
      <w:pPr>
        <w:pStyle w:val="ListBullet"/>
      </w:pPr>
      <w:r>
        <w:t>Compte bootstrap uniquement au premier seeding</w:t>
      </w:r>
    </w:p>
    <w:p>
      <w:pPr>
        <w:pStyle w:val="Heading1"/>
      </w:pPr>
      <w:r>
        <w:t>4. Permissions</w:t>
      </w:r>
    </w:p>
    <w:p>
      <w:r>
        <w:t>Les permissions sont vérifiées par Filament, policies et middleware can: sur les routes sensibles. Aucun contrôle d’interface seul n’est suffisant.</w:t>
      </w:r>
    </w:p>
    <w:p>
      <w:pPr>
        <w:pStyle w:val="ListBullet"/>
      </w:pPr>
      <w:r>
        <w:t>pages.view/create/update/delete/publish</w:t>
      </w:r>
    </w:p>
    <w:p>
      <w:pPr>
        <w:pStyle w:val="ListBullet"/>
      </w:pPr>
      <w:r>
        <w:t>media.view/create/update/delete/restore</w:t>
      </w:r>
    </w:p>
    <w:p>
      <w:pPr>
        <w:pStyle w:val="ListBullet"/>
      </w:pPr>
      <w:r>
        <w:t>contacts.view/update/export</w:t>
      </w:r>
    </w:p>
    <w:p>
      <w:pPr>
        <w:pStyle w:val="ListBullet"/>
      </w:pPr>
      <w:r>
        <w:t>backups.view/create/export/delete/restore</w:t>
      </w:r>
    </w:p>
    <w:p>
      <w:pPr>
        <w:pStyle w:val="ListBullet"/>
      </w:pPr>
      <w:r>
        <w:t>users.view/create/update/delete</w:t>
      </w:r>
    </w:p>
    <w:p>
      <w:pPr>
        <w:pStyle w:val="ListBullet"/>
      </w:pPr>
      <w:r>
        <w:t>exports.export</w:t>
      </w:r>
    </w:p>
    <w:p>
      <w:pPr>
        <w:pStyle w:val="ListBullet"/>
      </w:pPr>
      <w:r>
        <w:t>audit.view</w:t>
      </w:r>
    </w:p>
    <w:p>
      <w:pPr>
        <w:pStyle w:val="Heading1"/>
      </w:pPr>
      <w:r>
        <w:t>5. Publication</w:t>
      </w:r>
    </w:p>
    <w:p>
      <w:pPr>
        <w:pStyle w:val="ListBullet"/>
      </w:pPr>
      <w:r>
        <w:t>Validation métier, SEO et médias</w:t>
      </w:r>
    </w:p>
    <w:p>
      <w:pPr>
        <w:pStyle w:val="ListBullet"/>
      </w:pPr>
      <w:r>
        <w:t>Snapshot versionné</w:t>
      </w:r>
    </w:p>
    <w:p>
      <w:pPr>
        <w:pStyle w:val="ListBullet"/>
      </w:pPr>
      <w:r>
        <w:t>Génération dans un nouveau répertoire</w:t>
      </w:r>
    </w:p>
    <w:p>
      <w:pPr>
        <w:pStyle w:val="ListBullet"/>
      </w:pPr>
      <w:r>
        <w:t>Checksum et contrôle de cohérence</w:t>
      </w:r>
    </w:p>
    <w:p>
      <w:pPr>
        <w:pStyle w:val="ListBullet"/>
      </w:pPr>
      <w:r>
        <w:t>Permissions publiques 0755/0644</w:t>
      </w:r>
    </w:p>
    <w:p>
      <w:pPr>
        <w:pStyle w:val="ListBullet"/>
      </w:pPr>
      <w:r>
        <w:t>Bascule atomique</w:t>
      </w:r>
    </w:p>
    <w:p>
      <w:pPr>
        <w:pStyle w:val="ListBullet"/>
      </w:pPr>
      <w:r>
        <w:t>Conservation release précédente</w:t>
      </w:r>
    </w:p>
    <w:p>
      <w:pPr>
        <w:pStyle w:val="ListBullet"/>
      </w:pPr>
      <w:r>
        <w:t>Rollback autorisé et audité</w:t>
      </w:r>
    </w:p>
    <w:p>
      <w:pPr>
        <w:pStyle w:val="Heading1"/>
      </w:pPr>
      <w:r>
        <w:t>6. Médias</w:t>
      </w:r>
    </w:p>
    <w:p>
      <w:pPr>
        <w:pStyle w:val="ListBullet"/>
      </w:pPr>
      <w:r>
        <w:t>Validation MIME/signature</w:t>
      </w:r>
    </w:p>
    <w:p>
      <w:pPr>
        <w:pStyle w:val="ListBullet"/>
      </w:pPr>
      <w:r>
        <w:t>Limite par défaut 20 Mo et nombre de pixels</w:t>
      </w:r>
    </w:p>
    <w:p>
      <w:pPr>
        <w:pStyle w:val="ListBullet"/>
      </w:pPr>
      <w:r>
        <w:t>Stockage original privé</w:t>
      </w:r>
    </w:p>
    <w:p>
      <w:pPr>
        <w:pStyle w:val="ListBullet"/>
      </w:pPr>
      <w:r>
        <w:t>SHA-256</w:t>
      </w:r>
    </w:p>
    <w:p>
      <w:pPr>
        <w:pStyle w:val="ListBullet"/>
      </w:pPr>
      <w:r>
        <w:t>Orientation EXIF</w:t>
      </w:r>
    </w:p>
    <w:p>
      <w:pPr>
        <w:pStyle w:val="ListBullet"/>
      </w:pPr>
      <w:r>
        <w:t>Suppression des métadonnées sensibles</w:t>
      </w:r>
    </w:p>
    <w:p>
      <w:pPr>
        <w:pStyle w:val="ListBullet"/>
      </w:pPr>
      <w:r>
        <w:t>Variantes WebP 320/640/960/1280/1920</w:t>
      </w:r>
    </w:p>
    <w:p>
      <w:pPr>
        <w:pStyle w:val="ListBullet"/>
      </w:pPr>
      <w:r>
        <w:t>Nettoyage SVG</w:t>
      </w:r>
    </w:p>
    <w:p>
      <w:pPr>
        <w:pStyle w:val="ListBullet"/>
      </w:pPr>
      <w:r>
        <w:t>Recadrage non destructif</w:t>
      </w:r>
    </w:p>
    <w:p>
      <w:pPr>
        <w:pStyle w:val="ListBullet"/>
      </w:pPr>
      <w:r>
        <w:t>Remplacement transactionnel</w:t>
      </w:r>
    </w:p>
    <w:p>
      <w:pPr>
        <w:pStyle w:val="Heading1"/>
      </w:pPr>
      <w:r>
        <w:t>7. Formulaires</w:t>
      </w:r>
    </w:p>
    <w:p>
      <w:pPr>
        <w:pStyle w:val="ListBullet"/>
      </w:pPr>
      <w:r>
        <w:t>Route POST /api/contact</w:t>
      </w:r>
    </w:p>
    <w:p>
      <w:pPr>
        <w:pStyle w:val="ListBullet"/>
      </w:pPr>
      <w:r>
        <w:t>Throttle 5/minute</w:t>
      </w:r>
    </w:p>
    <w:p>
      <w:pPr>
        <w:pStyle w:val="ListBullet"/>
      </w:pPr>
      <w:r>
        <w:t>Honeypot et délai minimal</w:t>
      </w:r>
    </w:p>
    <w:p>
      <w:pPr>
        <w:pStyle w:val="ListBullet"/>
      </w:pPr>
      <w:r>
        <w:t>Validation serveur</w:t>
      </w:r>
    </w:p>
    <w:p>
      <w:pPr>
        <w:pStyle w:val="ListBullet"/>
      </w:pPr>
      <w:r>
        <w:t>Enregistrement transactionnel</w:t>
      </w:r>
    </w:p>
    <w:p>
      <w:pPr>
        <w:pStyle w:val="ListBullet"/>
      </w:pPr>
      <w:r>
        <w:t>Notification propriétaire et confirmation</w:t>
      </w:r>
    </w:p>
    <w:p>
      <w:pPr>
        <w:pStyle w:val="ListBullet"/>
      </w:pPr>
      <w:r>
        <w:t>SMTP recommandé</w:t>
      </w:r>
    </w:p>
    <w:p>
      <w:pPr>
        <w:pStyle w:val="ListBullet"/>
      </w:pPr>
      <w:r>
        <w:t>Statuts et historique</w:t>
      </w:r>
    </w:p>
    <w:p>
      <w:pPr>
        <w:pStyle w:val="ListBullet"/>
      </w:pPr>
      <w:r>
        <w:t>Purge programmée</w:t>
      </w:r>
    </w:p>
    <w:p>
      <w:pPr>
        <w:pStyle w:val="Heading1"/>
      </w:pPr>
      <w:r>
        <w:t>8. Sauvegardes</w:t>
      </w:r>
    </w:p>
    <w:p>
      <w:pPr>
        <w:pStyle w:val="ListBullet"/>
      </w:pPr>
      <w:r>
        <w:t>pg_dump et pg_restore</w:t>
      </w:r>
    </w:p>
    <w:p>
      <w:pPr>
        <w:pStyle w:val="ListBullet"/>
      </w:pPr>
      <w:r>
        <w:t>Archive base et médias</w:t>
      </w:r>
    </w:p>
    <w:p>
      <w:pPr>
        <w:pStyle w:val="ListBullet"/>
      </w:pPr>
      <w:r>
        <w:t>Manifeste et SHA-256</w:t>
      </w:r>
    </w:p>
    <w:p>
      <w:pPr>
        <w:pStyle w:val="ListBullet"/>
      </w:pPr>
      <w:r>
        <w:t>Restauration précédée d’une sauvegarde de sécurité</w:t>
      </w:r>
    </w:p>
    <w:p>
      <w:pPr>
        <w:pStyle w:val="ListBullet"/>
      </w:pPr>
      <w:r>
        <w:t>Rétention</w:t>
      </w:r>
    </w:p>
    <w:p>
      <w:pPr>
        <w:pStyle w:val="ListBullet"/>
      </w:pPr>
      <w:r>
        <w:t>Téléchargement protégé</w:t>
      </w:r>
    </w:p>
    <w:p>
      <w:pPr>
        <w:pStyle w:val="ListBullet"/>
      </w:pPr>
      <w:r>
        <w:t>Copie externe à configurer</w:t>
      </w:r>
    </w:p>
    <w:p>
      <w:pPr>
        <w:pStyle w:val="Heading1"/>
      </w:pPr>
      <w:r>
        <w:t>9. Sécurité</w:t>
      </w:r>
    </w:p>
    <w:p>
      <w:pPr>
        <w:pStyle w:val="ListBullet"/>
      </w:pPr>
      <w:r>
        <w:t>HTTPS/HSTS</w:t>
      </w:r>
    </w:p>
    <w:p>
      <w:pPr>
        <w:pStyle w:val="ListBullet"/>
      </w:pPr>
      <w:r>
        <w:t>CSRF</w:t>
      </w:r>
    </w:p>
    <w:p>
      <w:pPr>
        <w:pStyle w:val="ListBullet"/>
      </w:pPr>
      <w:r>
        <w:t>XSS et sanitization</w:t>
      </w:r>
    </w:p>
    <w:p>
      <w:pPr>
        <w:pStyle w:val="ListBullet"/>
      </w:pPr>
      <w:r>
        <w:t>ORM</w:t>
      </w:r>
    </w:p>
    <w:p>
      <w:pPr>
        <w:pStyle w:val="ListBullet"/>
      </w:pPr>
      <w:r>
        <w:t>Uploads non exécutables</w:t>
      </w:r>
    </w:p>
    <w:p>
      <w:pPr>
        <w:pStyle w:val="ListBullet"/>
      </w:pPr>
      <w:r>
        <w:t>Secrets .env</w:t>
      </w:r>
    </w:p>
    <w:p>
      <w:pPr>
        <w:pStyle w:val="ListBullet"/>
      </w:pPr>
      <w:r>
        <w:t>CSP et headers</w:t>
      </w:r>
    </w:p>
    <w:p>
      <w:pPr>
        <w:pStyle w:val="ListBullet"/>
      </w:pPr>
      <w:r>
        <w:t>Audit des dépendances</w:t>
      </w:r>
    </w:p>
    <w:p>
      <w:pPr>
        <w:pStyle w:val="ListBullet"/>
      </w:pPr>
      <w:r>
        <w:t>Logs sans secrets</w:t>
      </w:r>
    </w:p>
    <w:p>
      <w:pPr>
        <w:pStyle w:val="ListBullet"/>
      </w:pPr>
      <w:r>
        <w:t>Noindex administration et recette</w:t>
      </w:r>
    </w:p>
    <w:p>
      <w:pPr>
        <w:pStyle w:val="Heading1"/>
      </w:pPr>
      <w:r>
        <w:t>10. Environnements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1717"/>
            <w:vAlign w:val="center"/>
          </w:tcPr>
          <w:p>
            <w:r>
              <w:rPr>
                <w:b/>
                <w:color w:val="FFFFFF"/>
              </w:rPr>
              <w:t>Environnement</w:t>
            </w:r>
          </w:p>
        </w:tc>
        <w:tc>
          <w:tcPr>
            <w:tcW w:type="dxa" w:w="5156"/>
            <w:shd w:fill="171717"/>
            <w:vAlign w:val="center"/>
          </w:tcPr>
          <w:p>
            <w:r>
              <w:rPr>
                <w:b/>
                <w:color w:val="FFFFFF"/>
              </w:rPr>
              <w:t>Configuration</w:t>
            </w:r>
          </w:p>
        </w:tc>
      </w:tr>
      <w:tr>
        <w:tc>
          <w:tcPr>
            <w:tcW w:type="dxa" w:w="5156"/>
            <w:vAlign w:val="top"/>
          </w:tcPr>
          <w:p>
            <w:r>
              <w:t>Développement</w:t>
            </w:r>
          </w:p>
        </w:tc>
        <w:tc>
          <w:tcPr>
            <w:tcW w:type="dxa" w:w="5156"/>
            <w:vAlign w:val="top"/>
          </w:tcPr>
          <w:p>
            <w:r>
              <w:t>Docker Compose, PostgreSQL, Mailpit, données fictives.</w:t>
            </w:r>
          </w:p>
        </w:tc>
      </w:tr>
      <w:tr>
        <w:tc>
          <w:tcPr>
            <w:tcW w:type="dxa" w:w="5156"/>
            <w:vAlign w:val="top"/>
          </w:tcPr>
          <w:p>
            <w:r>
              <w:t>Recette</w:t>
            </w:r>
          </w:p>
        </w:tc>
        <w:tc>
          <w:tcPr>
            <w:tcW w:type="dxa" w:w="5156"/>
            <w:vAlign w:val="top"/>
          </w:tcPr>
          <w:p>
            <w:r>
              <w:t>Base et secrets séparés, accès protégé, noindex.</w:t>
            </w:r>
          </w:p>
        </w:tc>
      </w:tr>
      <w:tr>
        <w:tc>
          <w:tcPr>
            <w:tcW w:type="dxa" w:w="5156"/>
            <w:vAlign w:val="top"/>
          </w:tcPr>
          <w:p>
            <w:r>
              <w:t>Production</w:t>
            </w:r>
          </w:p>
        </w:tc>
        <w:tc>
          <w:tcPr>
            <w:tcW w:type="dxa" w:w="5156"/>
            <w:vAlign w:val="top"/>
          </w:tcPr>
          <w:p>
            <w:r>
              <w:t>HTTPS, APP_DEBUG=false, stockage persistant, SMTP, sauvegardes externes.</w:t>
            </w:r>
          </w:p>
        </w:tc>
      </w:tr>
    </w:tbl>
    <w:p/>
    <w:p>
      <w:pPr>
        <w:pStyle w:val="Heading1"/>
      </w:pPr>
      <w:r>
        <w:t>11. Planification</w:t>
      </w:r>
    </w:p>
    <w:p>
      <w:pPr>
        <w:pStyle w:val="ListBullet"/>
      </w:pPr>
      <w:r>
        <w:t>cms:publish-scheduled chaque minute</w:t>
      </w:r>
    </w:p>
    <w:p>
      <w:pPr>
        <w:pStyle w:val="ListBullet"/>
      </w:pPr>
      <w:r>
        <w:t>cms:backup --type=database chaque nuit</w:t>
      </w:r>
    </w:p>
    <w:p>
      <w:pPr>
        <w:pStyle w:val="ListBullet"/>
      </w:pPr>
      <w:r>
        <w:t>cms:backup --type=full chaque lundi</w:t>
      </w:r>
    </w:p>
    <w:p>
      <w:pPr>
        <w:pStyle w:val="ListBullet"/>
      </w:pPr>
      <w:r>
        <w:t>cms:purge-contact-data chaque nuit</w:t>
      </w:r>
    </w:p>
    <w:p>
      <w:pPr>
        <w:pStyle w:val="ListBullet"/>
      </w:pPr>
      <w:r>
        <w:t>cms:prune chaque lundi</w:t>
      </w:r>
    </w:p>
    <w:p>
      <w:pPr>
        <w:pStyle w:val="Heading1"/>
      </w:pPr>
      <w:r>
        <w:t>12. Tests</w:t>
      </w:r>
    </w:p>
    <w:p>
      <w:pPr>
        <w:pStyle w:val="ListBullet"/>
      </w:pPr>
      <w:r>
        <w:t>33 tests / 162 assertions sur SQLite et PostgreSQL selon le rapport de livraison</w:t>
      </w:r>
    </w:p>
    <w:p>
      <w:pPr>
        <w:pStyle w:val="ListBullet"/>
      </w:pPr>
      <w:r>
        <w:t>Migrations PostgreSQL depuis base vide</w:t>
      </w:r>
    </w:p>
    <w:p>
      <w:pPr>
        <w:pStyle w:val="ListBullet"/>
      </w:pPr>
      <w:r>
        <w:t>Pint</w:t>
      </w:r>
    </w:p>
    <w:p>
      <w:pPr>
        <w:pStyle w:val="ListBullet"/>
      </w:pPr>
      <w:r>
        <w:t>Composer audit</w:t>
      </w:r>
    </w:p>
    <w:p>
      <w:pPr>
        <w:pStyle w:val="ListBullet"/>
      </w:pPr>
      <w:r>
        <w:t>Import historique idempotent</w:t>
      </w:r>
    </w:p>
    <w:p>
      <w:pPr>
        <w:pStyle w:val="ListBullet"/>
      </w:pPr>
      <w:r>
        <w:t>Variantes médias</w:t>
      </w:r>
    </w:p>
    <w:p>
      <w:pPr>
        <w:pStyle w:val="ListBullet"/>
      </w:pPr>
      <w:r>
        <w:t>Sauvegarde et restauration</w:t>
      </w:r>
    </w:p>
    <w:p>
      <w:pPr>
        <w:pStyle w:val="ListBullet"/>
      </w:pPr>
      <w:r>
        <w:t>Routes sensibles</w:t>
      </w:r>
    </w:p>
    <w:p>
      <w:pPr>
        <w:pStyle w:val="ListBullet"/>
      </w:pPr>
      <w:r>
        <w:t>Tests HTML/SEO/liens</w:t>
      </w:r>
    </w:p>
    <w:p>
      <w:pPr>
        <w:pStyle w:val="Heading1"/>
      </w:pPr>
      <w:r>
        <w:t>13. Exploitation</w:t>
      </w:r>
    </w:p>
    <w:p>
      <w:pPr>
        <w:pStyle w:val="ListBullet"/>
      </w:pPr>
      <w:r>
        <w:t>Cron Laravel chaque minute</w:t>
      </w:r>
    </w:p>
    <w:p>
      <w:pPr>
        <w:pStyle w:val="ListBullet"/>
      </w:pPr>
      <w:r>
        <w:t>Logs applicatifs et Nginx</w:t>
      </w:r>
    </w:p>
    <w:p>
      <w:pPr>
        <w:pStyle w:val="ListBullet"/>
      </w:pPr>
      <w:r>
        <w:t>Surveillance espace disque et sauvegardes</w:t>
      </w:r>
    </w:p>
    <w:p>
      <w:pPr>
        <w:pStyle w:val="ListBullet"/>
      </w:pPr>
      <w:r>
        <w:t>Mise à jour des dépendances</w:t>
      </w:r>
    </w:p>
    <w:p>
      <w:pPr>
        <w:pStyle w:val="ListBullet"/>
      </w:pPr>
      <w:r>
        <w:t>Procédure de déploiement versionnée</w:t>
      </w:r>
    </w:p>
    <w:p>
      <w:pPr>
        <w:pStyle w:val="ListBullet"/>
      </w:pPr>
      <w:r>
        <w:t>Rollback applicatif et contenu</w:t>
      </w:r>
    </w:p>
    <w:p>
      <w:pPr>
        <w:pStyle w:val="ListBullet"/>
      </w:pPr>
      <w:r>
        <w:t>Transfert de tous les accès au client</w:t>
      </w:r>
    </w:p>
    <w:sectPr w:rsidR="00FC693F" w:rsidRPr="0006063C" w:rsidSect="00034616">
      <w:footerReference w:type="default" r:id="rId9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Faty Style — STD-ADMIN — Version 5.0</w:t>
    </w:r>
  </w:p>
  <w:p>
    <w:pPr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171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400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171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C400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