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1F1F"/>
          <w:sz w:val="44"/>
        </w:rPr>
        <w:t>Faty Style</w:t>
      </w:r>
    </w:p>
    <w:p>
      <w:pPr>
        <w:jc w:val="center"/>
      </w:pPr>
      <w:r>
        <w:rPr>
          <w:b/>
          <w:color w:val="C8A97E"/>
          <w:sz w:val="36"/>
        </w:rPr>
        <w:t>Cahier des charges</w:t>
      </w:r>
    </w:p>
    <w:p>
      <w:pPr>
        <w:jc w:val="center"/>
      </w:pPr>
      <w:r>
        <w:rPr>
          <w:color w:val="666666"/>
          <w:sz w:val="20"/>
        </w:rPr>
        <w:t>Version alignée sur le nouveau site autonome déployé sur VPS</w:t>
      </w:r>
    </w:p>
    <w:p/>
    <w:tbl>
      <w:tblPr>
        <w:tblW w:type="auto" w:w="0"/>
        <w:jc w:val="center"/>
        <w:tblLook w:firstColumn="1" w:firstRow="1" w:lastColumn="0" w:lastRow="0" w:noHBand="0" w:noVBand="1" w:val="04A0"/>
      </w:tblPr>
      <w:tblGrid>
        <w:gridCol w:w="5112"/>
        <w:gridCol w:w="5112"/>
      </w:tblGrid>
      <w:tr>
        <w:tc>
          <w:tcPr>
            <w:tcW w:type="dxa" w:w="5112"/>
            <w:shd w:fill="0B0B0B"/>
            <w:vAlign w:val="center"/>
          </w:tcPr>
          <w:p>
            <w:pPr>
              <w:spacing w:after="0"/>
            </w:pPr>
            <w:r/>
            <w:r>
              <w:rPr>
                <w:b/>
                <w:color w:val="FFFFFF"/>
              </w:rPr>
              <w:t>Client</w:t>
            </w:r>
          </w:p>
        </w:tc>
        <w:tc>
          <w:tcPr>
            <w:tcW w:type="dxa" w:w="5112"/>
            <w:vAlign w:val="center"/>
          </w:tcPr>
          <w:p>
            <w:pPr>
              <w:spacing w:after="0"/>
            </w:pPr>
            <w:r/>
            <w:r>
              <w:rPr>
                <w:b w:val="0"/>
              </w:rPr>
              <w:t>Faty Style</w:t>
            </w:r>
          </w:p>
        </w:tc>
      </w:tr>
      <w:tr>
        <w:tc>
          <w:tcPr>
            <w:tcW w:type="dxa" w:w="5112"/>
            <w:shd w:fill="0B0B0B"/>
            <w:vAlign w:val="center"/>
          </w:tcPr>
          <w:p>
            <w:pPr>
              <w:spacing w:after="0"/>
            </w:pPr>
            <w:r/>
            <w:r>
              <w:rPr>
                <w:b/>
                <w:color w:val="FFFFFF"/>
              </w:rPr>
              <w:t>Version document</w:t>
            </w:r>
          </w:p>
        </w:tc>
        <w:tc>
          <w:tcPr>
            <w:tcW w:type="dxa" w:w="5112"/>
            <w:vAlign w:val="center"/>
          </w:tcPr>
          <w:p>
            <w:pPr>
              <w:spacing w:after="0"/>
            </w:pPr>
            <w:r/>
            <w:r>
              <w:rPr>
                <w:b w:val="0"/>
              </w:rPr>
              <w:t>v3.0</w:t>
            </w:r>
          </w:p>
        </w:tc>
      </w:tr>
      <w:tr>
        <w:tc>
          <w:tcPr>
            <w:tcW w:type="dxa" w:w="5112"/>
            <w:shd w:fill="0B0B0B"/>
            <w:vAlign w:val="center"/>
          </w:tcPr>
          <w:p>
            <w:pPr>
              <w:spacing w:after="0"/>
            </w:pPr>
            <w:r/>
            <w:r>
              <w:rPr>
                <w:b/>
                <w:color w:val="FFFFFF"/>
              </w:rPr>
              <w:t>Site de recette</w:t>
            </w:r>
          </w:p>
        </w:tc>
        <w:tc>
          <w:tcPr>
            <w:tcW w:type="dxa" w:w="5112"/>
            <w:vAlign w:val="center"/>
          </w:tcPr>
          <w:p>
            <w:pPr>
              <w:spacing w:after="0"/>
            </w:pPr>
            <w:r/>
            <w:r>
              <w:rPr>
                <w:b w:val="0"/>
              </w:rPr>
              <w:t>http://178.105.180.143:8082/index.html</w:t>
            </w:r>
          </w:p>
        </w:tc>
      </w:tr>
      <w:tr>
        <w:tc>
          <w:tcPr>
            <w:tcW w:type="dxa" w:w="5112"/>
            <w:shd w:fill="0B0B0B"/>
            <w:vAlign w:val="center"/>
          </w:tcPr>
          <w:p>
            <w:pPr>
              <w:spacing w:after="0"/>
            </w:pPr>
            <w:r/>
            <w:r>
              <w:rPr>
                <w:b/>
                <w:color w:val="FFFFFF"/>
              </w:rPr>
              <w:t>Repo de travail</w:t>
            </w:r>
          </w:p>
        </w:tc>
        <w:tc>
          <w:tcPr>
            <w:tcW w:type="dxa" w:w="5112"/>
            <w:vAlign w:val="center"/>
          </w:tcPr>
          <w:p>
            <w:pPr>
              <w:spacing w:after="0"/>
            </w:pPr>
            <w:r/>
            <w:r>
              <w:rPr>
                <w:b w:val="0"/>
              </w:rPr>
              <w:t>https://github.com/hichama-collab/fatystyle</w:t>
            </w:r>
          </w:p>
        </w:tc>
      </w:tr>
      <w:tr>
        <w:tc>
          <w:tcPr>
            <w:tcW w:type="dxa" w:w="5112"/>
            <w:shd w:fill="0B0B0B"/>
            <w:vAlign w:val="center"/>
          </w:tcPr>
          <w:p>
            <w:pPr>
              <w:spacing w:after="0"/>
            </w:pPr>
            <w:r/>
            <w:r>
              <w:rPr>
                <w:b/>
                <w:color w:val="FFFFFF"/>
              </w:rPr>
              <w:t>Périmètre</w:t>
            </w:r>
          </w:p>
        </w:tc>
        <w:tc>
          <w:tcPr>
            <w:tcW w:type="dxa" w:w="5112"/>
            <w:vAlign w:val="center"/>
          </w:tcPr>
          <w:p>
            <w:pPr>
              <w:spacing w:after="0"/>
            </w:pPr>
            <w:r/>
            <w:r>
              <w:rPr>
                <w:b w:val="0"/>
              </w:rPr>
              <w:t>Site vitrine couture autonome, sans WordPress, admin future</w:t>
            </w:r>
          </w:p>
        </w:tc>
      </w:tr>
      <w:tr>
        <w:tc>
          <w:tcPr>
            <w:tcW w:type="dxa" w:w="5112"/>
            <w:shd w:fill="0B0B0B"/>
            <w:vAlign w:val="center"/>
          </w:tcPr>
          <w:p>
            <w:pPr>
              <w:spacing w:after="0"/>
            </w:pPr>
            <w:r/>
            <w:r>
              <w:rPr>
                <w:b/>
                <w:color w:val="FFFFFF"/>
              </w:rPr>
              <w:t>Contact</w:t>
            </w:r>
          </w:p>
        </w:tc>
        <w:tc>
          <w:tcPr>
            <w:tcW w:type="dxa" w:w="5112"/>
            <w:vAlign w:val="center"/>
          </w:tcPr>
          <w:p>
            <w:pPr>
              <w:spacing w:after="0"/>
            </w:pPr>
            <w:r/>
            <w:r>
              <w:rPr>
                <w:b w:val="0"/>
              </w:rPr>
              <w:t>07 68 65 56 43 - fatystyle@hotmail.fr</w:t>
            </w:r>
          </w:p>
        </w:tc>
      </w:tr>
      <w:tr>
        <w:tc>
          <w:tcPr>
            <w:tcW w:type="dxa" w:w="5112"/>
            <w:shd w:fill="0B0B0B"/>
            <w:vAlign w:val="center"/>
          </w:tcPr>
          <w:p>
            <w:pPr>
              <w:spacing w:after="0"/>
            </w:pPr>
            <w:r/>
            <w:r>
              <w:rPr>
                <w:b/>
                <w:color w:val="FFFFFF"/>
              </w:rPr>
              <w:t>Adresse</w:t>
            </w:r>
          </w:p>
        </w:tc>
        <w:tc>
          <w:tcPr>
            <w:tcW w:type="dxa" w:w="5112"/>
            <w:vAlign w:val="center"/>
          </w:tcPr>
          <w:p>
            <w:pPr>
              <w:spacing w:after="0"/>
            </w:pPr>
            <w:r/>
            <w:r>
              <w:rPr>
                <w:b w:val="0"/>
              </w:rPr>
              <w:t>9 Bis Boulevard Aristide Briand, 78520 Limay</w:t>
            </w:r>
          </w:p>
        </w:tc>
      </w:tr>
      <w:tr>
        <w:tc>
          <w:tcPr>
            <w:tcW w:type="dxa" w:w="5112"/>
            <w:shd w:fill="0B0B0B"/>
            <w:vAlign w:val="center"/>
          </w:tcPr>
          <w:p>
            <w:pPr>
              <w:spacing w:after="0"/>
            </w:pPr>
            <w:r/>
            <w:r>
              <w:rPr>
                <w:b/>
                <w:color w:val="FFFFFF"/>
              </w:rPr>
              <w:t>Date</w:t>
            </w:r>
          </w:p>
        </w:tc>
        <w:tc>
          <w:tcPr>
            <w:tcW w:type="dxa" w:w="5112"/>
            <w:vAlign w:val="center"/>
          </w:tcPr>
          <w:p>
            <w:pPr>
              <w:spacing w:after="0"/>
            </w:pPr>
            <w:r/>
            <w:r>
              <w:rPr>
                <w:b w:val="0"/>
              </w:rPr>
              <w:t>10/07/2026</w:t>
            </w:r>
          </w:p>
        </w:tc>
      </w:tr>
    </w:tbl>
    <w:p>
      <w:r>
        <w:br w:type="page"/>
      </w:r>
    </w:p>
    <w:p>
      <w:pPr>
        <w:pStyle w:val="Heading1"/>
      </w:pPr>
      <w:r>
        <w:t>1. Contexte</w:t>
      </w:r>
    </w:p>
    <w:p>
      <w:pPr>
        <w:spacing w:after="100"/>
      </w:pPr>
      <w:r>
        <w:t>Faty Style dispose d'une nouvelle version de site vitrine construite sur une base autonome, détachée de Ma Vitrine et sans WordPress. Le site de recette est disponible sur le VPS via le port 8082. Cette version remplace l'ancienne approche visuelle et vise un rendu plus moderne, plus clair et mieux adapté à l'univers couture.</w:t>
      </w:r>
    </w:p>
    <w:p>
      <w:pPr>
        <w:pStyle w:val="Heading1"/>
      </w:pPr>
      <w:r>
        <w:t>2. Objectifs du projet</w:t>
      </w:r>
    </w:p>
    <w:p>
      <w:pPr>
        <w:pStyle w:val="ListBullet"/>
      </w:pPr>
      <w:r>
        <w:t>Présenter Faty Style comme atelier de couture, haute couture et retouches à Limay.</w:t>
      </w:r>
    </w:p>
    <w:p>
      <w:pPr>
        <w:pStyle w:val="ListBullet"/>
      </w:pPr>
      <w:r>
        <w:t>Mettre en avant les prestations, les univers de création et les vraies photos de l'atelier.</w:t>
      </w:r>
    </w:p>
    <w:p>
      <w:pPr>
        <w:pStyle w:val="ListBullet"/>
      </w:pPr>
      <w:r>
        <w:t>Simplifier le plan du site autour de quatre pages : Accueil, Présentation, Savoir-faire, Contact.</w:t>
      </w:r>
    </w:p>
    <w:p>
      <w:pPr>
        <w:pStyle w:val="ListBullet"/>
      </w:pPr>
      <w:r>
        <w:t>Garantir une expérience mobile propre, sans galerie interminable ni menu non maîtrisé.</w:t>
      </w:r>
    </w:p>
    <w:p>
      <w:pPr>
        <w:pStyle w:val="ListBullet"/>
      </w:pPr>
      <w:r>
        <w:t>Préparer une future partie administration via une architecture claire et un fichier content.json.</w:t>
      </w:r>
    </w:p>
    <w:p>
      <w:pPr>
        <w:pStyle w:val="ListBullet"/>
      </w:pPr>
      <w:r>
        <w:t>Livrer un site autonome compatible hébergement classique, sans dépendance WordPress.</w:t>
      </w:r>
    </w:p>
    <w:p>
      <w:pPr>
        <w:pStyle w:val="Heading1"/>
      </w:pPr>
      <w:r>
        <w:t>3. Périmètre inclus</w:t>
      </w:r>
    </w:p>
    <w:tbl>
      <w:tblPr>
        <w:tblStyle w:val="TableGrid"/>
        <w:tblW w:type="auto" w:w="0"/>
        <w:jc w:val="center"/>
        <w:tblLook w:firstColumn="1" w:firstRow="1" w:lastColumn="0" w:lastRow="0" w:noHBand="0" w:noVBand="1" w:val="04A0"/>
      </w:tblPr>
      <w:tblGrid>
        <w:gridCol w:w="5112"/>
        <w:gridCol w:w="5112"/>
      </w:tblGrid>
      <w:tr>
        <w:tc>
          <w:tcPr>
            <w:tcW w:type="dxa" w:w="5112"/>
            <w:shd w:fill="0B0B0B"/>
          </w:tcPr>
          <w:p>
            <w:pPr>
              <w:spacing w:after="0"/>
            </w:pPr>
            <w:r/>
            <w:r>
              <w:rPr>
                <w:b/>
                <w:color w:val="FFFFFF"/>
              </w:rPr>
              <w:t>Lot</w:t>
            </w:r>
          </w:p>
        </w:tc>
        <w:tc>
          <w:tcPr>
            <w:tcW w:type="dxa" w:w="5112"/>
            <w:shd w:fill="0B0B0B"/>
          </w:tcPr>
          <w:p>
            <w:pPr>
              <w:spacing w:after="0"/>
            </w:pPr>
            <w:r/>
            <w:r>
              <w:rPr>
                <w:b/>
                <w:color w:val="FFFFFF"/>
              </w:rPr>
              <w:t>Contenu</w:t>
            </w:r>
          </w:p>
        </w:tc>
      </w:tr>
      <w:tr>
        <w:tc>
          <w:tcPr>
            <w:tcW w:type="dxa" w:w="5112"/>
          </w:tcPr>
          <w:p>
            <w:pPr>
              <w:spacing w:after="0"/>
            </w:pPr>
            <w:r/>
            <w:r>
              <w:rPr>
                <w:b w:val="0"/>
              </w:rPr>
              <w:t>Site public</w:t>
            </w:r>
          </w:p>
        </w:tc>
        <w:tc>
          <w:tcPr>
            <w:tcW w:type="dxa" w:w="5112"/>
          </w:tcPr>
          <w:p>
            <w:pPr>
              <w:spacing w:after="0"/>
            </w:pPr>
            <w:r/>
            <w:r>
              <w:rPr>
                <w:b w:val="0"/>
              </w:rPr>
              <w:t>Pages Accueil, Présentation, Savoir-faire et Contact.</w:t>
            </w:r>
          </w:p>
        </w:tc>
      </w:tr>
      <w:tr>
        <w:tc>
          <w:tcPr>
            <w:tcW w:type="dxa" w:w="5112"/>
          </w:tcPr>
          <w:p>
            <w:pPr>
              <w:spacing w:after="0"/>
            </w:pPr>
            <w:r/>
            <w:r>
              <w:rPr>
                <w:b w:val="0"/>
              </w:rPr>
              <w:t>Contenus</w:t>
            </w:r>
          </w:p>
        </w:tc>
        <w:tc>
          <w:tcPr>
            <w:tcW w:type="dxa" w:w="5112"/>
          </w:tcPr>
          <w:p>
            <w:pPr>
              <w:spacing w:after="0"/>
            </w:pPr>
            <w:r/>
            <w:r>
              <w:rPr>
                <w:b w:val="0"/>
              </w:rPr>
              <w:t>Textes couture, prestations, univers de création, coordonnées et réseaux sociaux.</w:t>
            </w:r>
          </w:p>
        </w:tc>
      </w:tr>
      <w:tr>
        <w:tc>
          <w:tcPr>
            <w:tcW w:type="dxa" w:w="5112"/>
          </w:tcPr>
          <w:p>
            <w:pPr>
              <w:spacing w:after="0"/>
            </w:pPr>
            <w:r/>
            <w:r>
              <w:rPr>
                <w:b w:val="0"/>
              </w:rPr>
              <w:t>Photos</w:t>
            </w:r>
          </w:p>
        </w:tc>
        <w:tc>
          <w:tcPr>
            <w:tcW w:type="dxa" w:w="5112"/>
          </w:tcPr>
          <w:p>
            <w:pPr>
              <w:spacing w:after="0"/>
            </w:pPr>
            <w:r/>
            <w:r>
              <w:rPr>
                <w:b w:val="0"/>
              </w:rPr>
              <w:t>Images classées par univers avec covers et galeries par catégorie.</w:t>
            </w:r>
          </w:p>
        </w:tc>
      </w:tr>
      <w:tr>
        <w:tc>
          <w:tcPr>
            <w:tcW w:type="dxa" w:w="5112"/>
          </w:tcPr>
          <w:p>
            <w:pPr>
              <w:spacing w:after="0"/>
            </w:pPr>
            <w:r/>
            <w:r>
              <w:rPr>
                <w:b w:val="0"/>
              </w:rPr>
              <w:t>Galerie</w:t>
            </w:r>
          </w:p>
        </w:tc>
        <w:tc>
          <w:tcPr>
            <w:tcW w:type="dxa" w:w="5112"/>
          </w:tcPr>
          <w:p>
            <w:pPr>
              <w:spacing w:after="0"/>
            </w:pPr>
            <w:r/>
            <w:r>
              <w:rPr>
                <w:b w:val="0"/>
              </w:rPr>
              <w:t>Affichage par catégorie, lightbox, navigation précédent/suivant, version mobile regroupée.</w:t>
            </w:r>
          </w:p>
        </w:tc>
      </w:tr>
      <w:tr>
        <w:tc>
          <w:tcPr>
            <w:tcW w:type="dxa" w:w="5112"/>
          </w:tcPr>
          <w:p>
            <w:pPr>
              <w:spacing w:after="0"/>
            </w:pPr>
            <w:r/>
            <w:r>
              <w:rPr>
                <w:b w:val="0"/>
              </w:rPr>
              <w:t>Contact</w:t>
            </w:r>
          </w:p>
        </w:tc>
        <w:tc>
          <w:tcPr>
            <w:tcW w:type="dxa" w:w="5112"/>
          </w:tcPr>
          <w:p>
            <w:pPr>
              <w:spacing w:after="0"/>
            </w:pPr>
            <w:r/>
            <w:r>
              <w:rPr>
                <w:b w:val="0"/>
              </w:rPr>
              <w:t>Téléphone, email, WhatsApp, Facebook, Instagram et formulaire WhatsApp.</w:t>
            </w:r>
          </w:p>
        </w:tc>
      </w:tr>
      <w:tr>
        <w:tc>
          <w:tcPr>
            <w:tcW w:type="dxa" w:w="5112"/>
          </w:tcPr>
          <w:p>
            <w:pPr>
              <w:spacing w:after="0"/>
            </w:pPr>
            <w:r/>
            <w:r>
              <w:rPr>
                <w:b w:val="0"/>
              </w:rPr>
              <w:t>SEO</w:t>
            </w:r>
          </w:p>
        </w:tc>
        <w:tc>
          <w:tcPr>
            <w:tcW w:type="dxa" w:w="5112"/>
          </w:tcPr>
          <w:p>
            <w:pPr>
              <w:spacing w:after="0"/>
            </w:pPr>
            <w:r/>
            <w:r>
              <w:rPr>
                <w:b w:val="0"/>
              </w:rPr>
              <w:t>Balises title/description, mots clés locaux, schema.org LocalBusiness/ProfessionalService.</w:t>
            </w:r>
          </w:p>
        </w:tc>
      </w:tr>
      <w:tr>
        <w:tc>
          <w:tcPr>
            <w:tcW w:type="dxa" w:w="5112"/>
          </w:tcPr>
          <w:p>
            <w:pPr>
              <w:spacing w:after="0"/>
            </w:pPr>
            <w:r/>
            <w:r>
              <w:rPr>
                <w:b w:val="0"/>
              </w:rPr>
              <w:t>Technique</w:t>
            </w:r>
          </w:p>
        </w:tc>
        <w:tc>
          <w:tcPr>
            <w:tcW w:type="dxa" w:w="5112"/>
          </w:tcPr>
          <w:p>
            <w:pPr>
              <w:spacing w:after="0"/>
            </w:pPr>
            <w:r/>
            <w:r>
              <w:rPr>
                <w:b w:val="0"/>
              </w:rPr>
              <w:t>Repo autonome, chemins relatifs, déploiement VPS séparé sur port 8082.</w:t>
            </w:r>
          </w:p>
        </w:tc>
      </w:tr>
      <w:tr>
        <w:tc>
          <w:tcPr>
            <w:tcW w:type="dxa" w:w="5112"/>
          </w:tcPr>
          <w:p>
            <w:pPr>
              <w:spacing w:after="0"/>
            </w:pPr>
            <w:r/>
            <w:r>
              <w:rPr>
                <w:b w:val="0"/>
              </w:rPr>
              <w:t>Admin future</w:t>
            </w:r>
          </w:p>
        </w:tc>
        <w:tc>
          <w:tcPr>
            <w:tcW w:type="dxa" w:w="5112"/>
          </w:tcPr>
          <w:p>
            <w:pPr>
              <w:spacing w:after="0"/>
            </w:pPr>
            <w:r/>
            <w:r>
              <w:rPr>
                <w:b w:val="0"/>
              </w:rPr>
              <w:t>Structure prête via data/content.json et documentation admin en stand-by.</w:t>
            </w:r>
          </w:p>
        </w:tc>
      </w:tr>
    </w:tbl>
    <w:p/>
    <w:p>
      <w:pPr>
        <w:pStyle w:val="Heading1"/>
      </w:pPr>
      <w:r>
        <w:t>4. Hors périmètre actuel</w:t>
      </w:r>
    </w:p>
    <w:p>
      <w:pPr>
        <w:pStyle w:val="ListBullet"/>
      </w:pPr>
      <w:r>
        <w:t>Développement de l'administration complète : prévu en phase suivante.</w:t>
      </w:r>
    </w:p>
    <w:p>
      <w:pPr>
        <w:pStyle w:val="ListBullet"/>
      </w:pPr>
      <w:r>
        <w:t>WordPress : non retenu pour la version actuelle.</w:t>
      </w:r>
    </w:p>
    <w:p>
      <w:pPr>
        <w:pStyle w:val="ListBullet"/>
      </w:pPr>
      <w:r>
        <w:t>Nom de domaine, DNS définitif et certificat SSL du domaine final.</w:t>
      </w:r>
    </w:p>
    <w:p>
      <w:pPr>
        <w:pStyle w:val="ListBullet"/>
      </w:pPr>
      <w:r>
        <w:t>Paiement en ligne, réservation avancée ou boutique e-commerce.</w:t>
      </w:r>
    </w:p>
    <w:p>
      <w:pPr>
        <w:pStyle w:val="ListBullet"/>
      </w:pPr>
      <w:r>
        <w:t>Envoi email serveur avec accusé de réception.</w:t>
      </w:r>
    </w:p>
    <w:p>
      <w:pPr>
        <w:pStyle w:val="Heading1"/>
      </w:pPr>
      <w:r>
        <w:t>5. Plan du site cible</w:t>
      </w:r>
    </w:p>
    <w:tbl>
      <w:tblPr>
        <w:tblStyle w:val="TableGrid"/>
        <w:tblW w:type="auto" w:w="0"/>
        <w:jc w:val="center"/>
        <w:tblLook w:firstColumn="1" w:firstRow="1" w:lastColumn="0" w:lastRow="0" w:noHBand="0" w:noVBand="1" w:val="04A0"/>
      </w:tblPr>
      <w:tblGrid>
        <w:gridCol w:w="5112"/>
        <w:gridCol w:w="5112"/>
      </w:tblGrid>
      <w:tr>
        <w:tc>
          <w:tcPr>
            <w:tcW w:type="dxa" w:w="5112"/>
            <w:shd w:fill="0B0B0B"/>
          </w:tcPr>
          <w:p>
            <w:pPr>
              <w:spacing w:after="0"/>
            </w:pPr>
            <w:r/>
            <w:r>
              <w:rPr>
                <w:b/>
                <w:color w:val="FFFFFF"/>
              </w:rPr>
              <w:t>Page</w:t>
            </w:r>
          </w:p>
        </w:tc>
        <w:tc>
          <w:tcPr>
            <w:tcW w:type="dxa" w:w="5112"/>
            <w:shd w:fill="0B0B0B"/>
          </w:tcPr>
          <w:p>
            <w:pPr>
              <w:spacing w:after="0"/>
            </w:pPr>
            <w:r/>
            <w:r>
              <w:rPr>
                <w:b/>
                <w:color w:val="FFFFFF"/>
              </w:rPr>
              <w:t>Rôle</w:t>
            </w:r>
          </w:p>
        </w:tc>
      </w:tr>
      <w:tr>
        <w:tc>
          <w:tcPr>
            <w:tcW w:type="dxa" w:w="5112"/>
          </w:tcPr>
          <w:p>
            <w:pPr>
              <w:spacing w:after="0"/>
            </w:pPr>
            <w:r/>
            <w:r>
              <w:rPr>
                <w:b w:val="0"/>
              </w:rPr>
              <w:t>Accueil</w:t>
            </w:r>
          </w:p>
        </w:tc>
        <w:tc>
          <w:tcPr>
            <w:tcW w:type="dxa" w:w="5112"/>
          </w:tcPr>
          <w:p>
            <w:pPr>
              <w:spacing w:after="0"/>
            </w:pPr>
            <w:r/>
            <w:r>
              <w:rPr>
                <w:b w:val="0"/>
              </w:rPr>
              <w:t>Impact immédiat, résumé de l’activité, aperçu premium, confiance et CTA.</w:t>
            </w:r>
          </w:p>
        </w:tc>
      </w:tr>
      <w:tr>
        <w:tc>
          <w:tcPr>
            <w:tcW w:type="dxa" w:w="5112"/>
          </w:tcPr>
          <w:p>
            <w:pPr>
              <w:spacing w:after="0"/>
            </w:pPr>
            <w:r/>
            <w:r>
              <w:rPr>
                <w:b w:val="0"/>
              </w:rPr>
              <w:t>Présentation</w:t>
            </w:r>
          </w:p>
        </w:tc>
        <w:tc>
          <w:tcPr>
            <w:tcW w:type="dxa" w:w="5112"/>
          </w:tcPr>
          <w:p>
            <w:pPr>
              <w:spacing w:after="0"/>
            </w:pPr>
            <w:r/>
            <w:r>
              <w:rPr>
                <w:b w:val="0"/>
              </w:rPr>
              <w:t>Prestations, univers de création et accès aux galeries par catégorie.</w:t>
            </w:r>
          </w:p>
        </w:tc>
      </w:tr>
      <w:tr>
        <w:tc>
          <w:tcPr>
            <w:tcW w:type="dxa" w:w="5112"/>
          </w:tcPr>
          <w:p>
            <w:pPr>
              <w:spacing w:after="0"/>
            </w:pPr>
            <w:r/>
            <w:r>
              <w:rPr>
                <w:b w:val="0"/>
              </w:rPr>
              <w:t>Savoir-faire</w:t>
            </w:r>
          </w:p>
        </w:tc>
        <w:tc>
          <w:tcPr>
            <w:tcW w:type="dxa" w:w="5112"/>
          </w:tcPr>
          <w:p>
            <w:pPr>
              <w:spacing w:after="0"/>
            </w:pPr>
            <w:r/>
            <w:r>
              <w:rPr>
                <w:b w:val="0"/>
              </w:rPr>
              <w:t>Méthode artisanale : écoute, choix matières, coupe, essayages, finitions.</w:t>
            </w:r>
          </w:p>
        </w:tc>
      </w:tr>
      <w:tr>
        <w:tc>
          <w:tcPr>
            <w:tcW w:type="dxa" w:w="5112"/>
          </w:tcPr>
          <w:p>
            <w:pPr>
              <w:spacing w:after="0"/>
            </w:pPr>
            <w:r/>
            <w:r>
              <w:rPr>
                <w:b w:val="0"/>
              </w:rPr>
              <w:t>Contact</w:t>
            </w:r>
          </w:p>
        </w:tc>
        <w:tc>
          <w:tcPr>
            <w:tcW w:type="dxa" w:w="5112"/>
          </w:tcPr>
          <w:p>
            <w:pPr>
              <w:spacing w:after="0"/>
            </w:pPr>
            <w:r/>
            <w:r>
              <w:rPr>
                <w:b w:val="0"/>
              </w:rPr>
              <w:t>Transformation visiteur : WhatsApp, appel, email, adresse, réseaux sociaux.</w:t>
            </w:r>
          </w:p>
        </w:tc>
      </w:tr>
    </w:tbl>
    <w:p/>
    <w:p>
      <w:pPr>
        <w:pStyle w:val="Heading1"/>
      </w:pPr>
      <w:r>
        <w:t>6. Catégories de créations</w:t>
      </w:r>
    </w:p>
    <w:tbl>
      <w:tblPr>
        <w:tblStyle w:val="TableGrid"/>
        <w:tblW w:type="auto" w:w="0"/>
        <w:jc w:val="center"/>
        <w:tblLook w:firstColumn="1" w:firstRow="1" w:lastColumn="0" w:lastRow="0" w:noHBand="0" w:noVBand="1" w:val="04A0"/>
      </w:tblPr>
      <w:tblGrid>
        <w:gridCol w:w="5112"/>
        <w:gridCol w:w="5112"/>
      </w:tblGrid>
      <w:tr>
        <w:tc>
          <w:tcPr>
            <w:tcW w:type="dxa" w:w="5112"/>
            <w:shd w:fill="0B0B0B"/>
          </w:tcPr>
          <w:p>
            <w:pPr>
              <w:spacing w:after="0"/>
            </w:pPr>
            <w:r/>
            <w:r>
              <w:rPr>
                <w:b/>
                <w:color w:val="FFFFFF"/>
              </w:rPr>
              <w:t>Catégorie</w:t>
            </w:r>
          </w:p>
        </w:tc>
        <w:tc>
          <w:tcPr>
            <w:tcW w:type="dxa" w:w="5112"/>
            <w:shd w:fill="0B0B0B"/>
          </w:tcPr>
          <w:p>
            <w:pPr>
              <w:spacing w:after="0"/>
            </w:pPr>
            <w:r/>
            <w:r>
              <w:rPr>
                <w:b/>
                <w:color w:val="FFFFFF"/>
              </w:rPr>
              <w:t>Nombre de photos actuel</w:t>
            </w:r>
          </w:p>
        </w:tc>
      </w:tr>
      <w:tr>
        <w:tc>
          <w:tcPr>
            <w:tcW w:type="dxa" w:w="5112"/>
          </w:tcPr>
          <w:p>
            <w:pPr>
              <w:spacing w:after="0"/>
            </w:pPr>
            <w:r/>
            <w:r>
              <w:rPr>
                <w:b w:val="0"/>
              </w:rPr>
              <w:t>Robes de mariage</w:t>
            </w:r>
          </w:p>
        </w:tc>
        <w:tc>
          <w:tcPr>
            <w:tcW w:type="dxa" w:w="5112"/>
          </w:tcPr>
          <w:p>
            <w:pPr>
              <w:spacing w:after="0"/>
            </w:pPr>
            <w:r/>
            <w:r>
              <w:rPr>
                <w:b w:val="0"/>
              </w:rPr>
              <w:t>10</w:t>
            </w:r>
          </w:p>
        </w:tc>
      </w:tr>
      <w:tr>
        <w:tc>
          <w:tcPr>
            <w:tcW w:type="dxa" w:w="5112"/>
          </w:tcPr>
          <w:p>
            <w:pPr>
              <w:spacing w:after="0"/>
            </w:pPr>
            <w:r/>
            <w:r>
              <w:rPr>
                <w:b w:val="0"/>
              </w:rPr>
              <w:t>Robes de soirée</w:t>
            </w:r>
          </w:p>
        </w:tc>
        <w:tc>
          <w:tcPr>
            <w:tcW w:type="dxa" w:w="5112"/>
          </w:tcPr>
          <w:p>
            <w:pPr>
              <w:spacing w:after="0"/>
            </w:pPr>
            <w:r/>
            <w:r>
              <w:rPr>
                <w:b w:val="0"/>
              </w:rPr>
              <w:t>9</w:t>
            </w:r>
          </w:p>
        </w:tc>
      </w:tr>
      <w:tr>
        <w:tc>
          <w:tcPr>
            <w:tcW w:type="dxa" w:w="5112"/>
          </w:tcPr>
          <w:p>
            <w:pPr>
              <w:spacing w:after="0"/>
            </w:pPr>
            <w:r/>
            <w:r>
              <w:rPr>
                <w:b w:val="0"/>
              </w:rPr>
              <w:t>Ensembles &amp; vestes</w:t>
            </w:r>
          </w:p>
        </w:tc>
        <w:tc>
          <w:tcPr>
            <w:tcW w:type="dxa" w:w="5112"/>
          </w:tcPr>
          <w:p>
            <w:pPr>
              <w:spacing w:after="0"/>
            </w:pPr>
            <w:r/>
            <w:r>
              <w:rPr>
                <w:b w:val="0"/>
              </w:rPr>
              <w:t>6</w:t>
            </w:r>
          </w:p>
        </w:tc>
      </w:tr>
      <w:tr>
        <w:tc>
          <w:tcPr>
            <w:tcW w:type="dxa" w:w="5112"/>
          </w:tcPr>
          <w:p>
            <w:pPr>
              <w:spacing w:after="0"/>
            </w:pPr>
            <w:r/>
            <w:r>
              <w:rPr>
                <w:b w:val="0"/>
              </w:rPr>
              <w:t>Accessoires</w:t>
            </w:r>
          </w:p>
        </w:tc>
        <w:tc>
          <w:tcPr>
            <w:tcW w:type="dxa" w:w="5112"/>
          </w:tcPr>
          <w:p>
            <w:pPr>
              <w:spacing w:after="0"/>
            </w:pPr>
            <w:r/>
            <w:r>
              <w:rPr>
                <w:b w:val="0"/>
              </w:rPr>
              <w:t>4</w:t>
            </w:r>
          </w:p>
        </w:tc>
      </w:tr>
      <w:tr>
        <w:tc>
          <w:tcPr>
            <w:tcW w:type="dxa" w:w="5112"/>
          </w:tcPr>
          <w:p>
            <w:pPr>
              <w:spacing w:after="0"/>
            </w:pPr>
            <w:r/>
            <w:r>
              <w:rPr>
                <w:b w:val="0"/>
              </w:rPr>
              <w:t>Nœuds papillon</w:t>
            </w:r>
          </w:p>
        </w:tc>
        <w:tc>
          <w:tcPr>
            <w:tcW w:type="dxa" w:w="5112"/>
          </w:tcPr>
          <w:p>
            <w:pPr>
              <w:spacing w:after="0"/>
            </w:pPr>
            <w:r/>
            <w:r>
              <w:rPr>
                <w:b w:val="0"/>
              </w:rPr>
              <w:t>6</w:t>
            </w:r>
          </w:p>
        </w:tc>
      </w:tr>
      <w:tr>
        <w:tc>
          <w:tcPr>
            <w:tcW w:type="dxa" w:w="5112"/>
          </w:tcPr>
          <w:p>
            <w:pPr>
              <w:spacing w:after="0"/>
            </w:pPr>
            <w:r/>
            <w:r>
              <w:rPr>
                <w:b w:val="0"/>
              </w:rPr>
              <w:t>Tabliers</w:t>
            </w:r>
          </w:p>
        </w:tc>
        <w:tc>
          <w:tcPr>
            <w:tcW w:type="dxa" w:w="5112"/>
          </w:tcPr>
          <w:p>
            <w:pPr>
              <w:spacing w:after="0"/>
            </w:pPr>
            <w:r/>
            <w:r>
              <w:rPr>
                <w:b w:val="0"/>
              </w:rPr>
              <w:t>6</w:t>
            </w:r>
          </w:p>
        </w:tc>
      </w:tr>
      <w:tr>
        <w:tc>
          <w:tcPr>
            <w:tcW w:type="dxa" w:w="5112"/>
          </w:tcPr>
          <w:p>
            <w:pPr>
              <w:spacing w:after="0"/>
            </w:pPr>
            <w:r/>
            <w:r>
              <w:rPr>
                <w:b w:val="0"/>
              </w:rPr>
              <w:t>Sacs porte-plat</w:t>
            </w:r>
          </w:p>
        </w:tc>
        <w:tc>
          <w:tcPr>
            <w:tcW w:type="dxa" w:w="5112"/>
          </w:tcPr>
          <w:p>
            <w:pPr>
              <w:spacing w:after="0"/>
            </w:pPr>
            <w:r/>
            <w:r>
              <w:rPr>
                <w:b w:val="0"/>
              </w:rPr>
              <w:t>6</w:t>
            </w:r>
          </w:p>
        </w:tc>
      </w:tr>
      <w:tr>
        <w:tc>
          <w:tcPr>
            <w:tcW w:type="dxa" w:w="5112"/>
          </w:tcPr>
          <w:p>
            <w:pPr>
              <w:spacing w:after="0"/>
            </w:pPr>
            <w:r/>
            <w:r>
              <w:rPr>
                <w:b w:val="0"/>
              </w:rPr>
              <w:t>Écharpes</w:t>
            </w:r>
          </w:p>
        </w:tc>
        <w:tc>
          <w:tcPr>
            <w:tcW w:type="dxa" w:w="5112"/>
          </w:tcPr>
          <w:p>
            <w:pPr>
              <w:spacing w:after="0"/>
            </w:pPr>
            <w:r/>
            <w:r>
              <w:rPr>
                <w:b w:val="0"/>
              </w:rPr>
              <w:t>4</w:t>
            </w:r>
          </w:p>
        </w:tc>
      </w:tr>
      <w:tr>
        <w:tc>
          <w:tcPr>
            <w:tcW w:type="dxa" w:w="5112"/>
          </w:tcPr>
          <w:p>
            <w:pPr>
              <w:spacing w:after="0"/>
            </w:pPr>
            <w:r/>
            <w:r>
              <w:rPr>
                <w:b w:val="0"/>
              </w:rPr>
              <w:t>L'Atelier des Petits</w:t>
            </w:r>
          </w:p>
        </w:tc>
        <w:tc>
          <w:tcPr>
            <w:tcW w:type="dxa" w:w="5112"/>
          </w:tcPr>
          <w:p>
            <w:pPr>
              <w:spacing w:after="0"/>
            </w:pPr>
            <w:r/>
            <w:r>
              <w:rPr>
                <w:b w:val="0"/>
              </w:rPr>
              <w:t>6</w:t>
            </w:r>
          </w:p>
        </w:tc>
      </w:tr>
      <w:tr>
        <w:tc>
          <w:tcPr>
            <w:tcW w:type="dxa" w:w="5112"/>
          </w:tcPr>
          <w:p>
            <w:pPr>
              <w:spacing w:after="0"/>
            </w:pPr>
            <w:r/>
            <w:r>
              <w:rPr>
                <w:b w:val="0"/>
              </w:rPr>
              <w:t>Retouches / transformations</w:t>
            </w:r>
          </w:p>
        </w:tc>
        <w:tc>
          <w:tcPr>
            <w:tcW w:type="dxa" w:w="5112"/>
          </w:tcPr>
          <w:p>
            <w:pPr>
              <w:spacing w:after="0"/>
            </w:pPr>
            <w:r/>
            <w:r>
              <w:rPr>
                <w:b w:val="0"/>
              </w:rPr>
              <w:t>2</w:t>
            </w:r>
          </w:p>
        </w:tc>
      </w:tr>
      <w:tr>
        <w:tc>
          <w:tcPr>
            <w:tcW w:type="dxa" w:w="5112"/>
          </w:tcPr>
          <w:p>
            <w:pPr>
              <w:spacing w:after="0"/>
            </w:pPr>
            <w:r/>
            <w:r>
              <w:rPr>
                <w:b w:val="0"/>
              </w:rPr>
              <w:t>Initiation couture</w:t>
            </w:r>
          </w:p>
        </w:tc>
        <w:tc>
          <w:tcPr>
            <w:tcW w:type="dxa" w:w="5112"/>
          </w:tcPr>
          <w:p>
            <w:pPr>
              <w:spacing w:after="0"/>
            </w:pPr>
            <w:r/>
            <w:r>
              <w:rPr>
                <w:b w:val="0"/>
              </w:rPr>
              <w:t>3</w:t>
            </w:r>
          </w:p>
        </w:tc>
      </w:tr>
    </w:tbl>
    <w:p/>
    <w:p>
      <w:pPr>
        <w:pStyle w:val="Heading1"/>
      </w:pPr>
      <w:r>
        <w:t>7. Exigences d’acceptation</w:t>
      </w:r>
    </w:p>
    <w:p>
      <w:pPr>
        <w:pStyle w:val="ListBullet"/>
      </w:pPr>
      <w:r>
        <w:t>Aucune trace restaurant, burger, food, table, chef ou template restaurant visible dans le site livré.</w:t>
      </w:r>
    </w:p>
    <w:p>
      <w:pPr>
        <w:pStyle w:val="ListBullet"/>
      </w:pPr>
      <w:r>
        <w:t>Le menu mobile utilise une vraie icône burger et non le mot Navigation.</w:t>
      </w:r>
    </w:p>
    <w:p>
      <w:pPr>
        <w:pStyle w:val="ListBullet"/>
      </w:pPr>
      <w:r>
        <w:t>Sur mobile, les créations sont regroupées par univers ; les photos ne s’affichent pas en liste interminable.</w:t>
      </w:r>
    </w:p>
    <w:p>
      <w:pPr>
        <w:pStyle w:val="ListBullet"/>
      </w:pPr>
      <w:r>
        <w:t>Chaque univers ouvre une lightbox limitée à ses propres photos.</w:t>
      </w:r>
    </w:p>
    <w:p>
      <w:pPr>
        <w:pStyle w:val="ListBullet"/>
      </w:pPr>
      <w:r>
        <w:t>WhatsApp est disponible partout sans masquer le contenu.</w:t>
      </w:r>
    </w:p>
    <w:p>
      <w:pPr>
        <w:pStyle w:val="ListBullet"/>
      </w:pPr>
      <w:r>
        <w:t>Facebook et Instagram officiels sont présents dans le footer et la page Contact.</w:t>
      </w:r>
    </w:p>
    <w:p>
      <w:pPr>
        <w:pStyle w:val="ListBullet"/>
      </w:pPr>
      <w:r>
        <w:t>Le site fonctionne depuis le repo autonome et depuis le VPS http://178.105.180.143:8082/index.html.</w:t>
      </w:r>
    </w:p>
    <w:p>
      <w:pPr>
        <w:pStyle w:val="ListBullet"/>
      </w:pPr>
      <w:r>
        <w:t>La future admin peut être ajoutée sans refonte complète grâce au content.json et aux dossiers images structurés.</w:t>
      </w:r>
    </w:p>
    <w:p>
      <w:pPr>
        <w:jc w:val="right"/>
      </w:pPr>
      <w:r>
        <w:rPr>
          <w:color w:val="666666"/>
          <w:sz w:val="16"/>
        </w:rPr>
        <w:t>Document projet - Faty Style - CDC-FS-v3.0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