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D07DD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第二大题</w:t>
      </w:r>
      <w:r>
        <w:rPr>
          <w:rFonts w:hint="eastAsia"/>
          <w:b/>
          <w:bCs/>
        </w:rPr>
        <w:t>（总分25分）</w:t>
      </w:r>
      <w:r>
        <w:rPr>
          <w:rFonts w:hint="eastAsia"/>
          <w:b/>
          <w:bCs/>
          <w:lang w:eastAsia="zh-CN"/>
        </w:rPr>
        <w:t>：</w:t>
      </w:r>
    </w:p>
    <w:p w14:paraId="2609240A">
      <w:r>
        <w:rPr>
          <w:rFonts w:hint="eastAsia"/>
          <w:b/>
          <w:bCs/>
        </w:rPr>
        <w:t>问题2.1：基本设定：</w:t>
      </w:r>
      <w:r>
        <w:rPr>
          <w:rFonts w:hint="eastAsia"/>
        </w:rPr>
        <w:t>现设计一个针对恶性肿瘤的三期临床试验。</w:t>
      </w:r>
      <w:r>
        <w:t>试验组使用</w:t>
      </w:r>
      <w:r>
        <w:rPr>
          <w:rFonts w:hint="eastAsia"/>
        </w:rPr>
        <w:t>一种</w:t>
      </w:r>
      <w:r>
        <w:t>新型肿瘤</w:t>
      </w:r>
      <w:r>
        <w:rPr>
          <w:rFonts w:hint="eastAsia"/>
        </w:rPr>
        <w:t>药物X</w:t>
      </w:r>
      <w:r>
        <w:t>，对照组使用</w:t>
      </w:r>
      <w:r>
        <w:rPr>
          <w:rFonts w:hint="eastAsia"/>
        </w:rPr>
        <w:t>某标准治疗（SoC）</w:t>
      </w:r>
      <w:r>
        <w:t>。</w:t>
      </w:r>
      <w:r>
        <w:rPr>
          <w:rFonts w:hint="eastAsia"/>
        </w:rPr>
        <w:t>两治疗组进行1：1随机，通过区块随机方法，可认为两治疗组人数基本相同。</w:t>
      </w:r>
      <w:r>
        <w:t>试验终点为某至事件发生的生存终点。</w:t>
      </w:r>
      <w:r>
        <w:rPr>
          <w:rFonts w:hint="eastAsia"/>
        </w:rPr>
        <w:t>患者全人群可按某生物标志物划分为阳性和阴性人群</w:t>
      </w:r>
      <w:r>
        <w:t>。在</w:t>
      </w:r>
      <w:r>
        <w:rPr>
          <w:rFonts w:hint="eastAsia"/>
        </w:rPr>
        <w:t>阳性和阴性人群</w:t>
      </w:r>
      <w:r>
        <w:t>内，该生存期终点</w:t>
      </w:r>
      <w:r>
        <w:rPr>
          <w:rFonts w:hint="eastAsia"/>
        </w:rPr>
        <w:t>均</w:t>
      </w:r>
      <w:r>
        <w:t>服从指数分布</w:t>
      </w:r>
      <w:r>
        <w:rPr>
          <w:rFonts w:hint="eastAsia"/>
        </w:rPr>
        <w:t>，且试验组和对照组间</w:t>
      </w:r>
      <w:r>
        <w:t>比例风险</w:t>
      </w:r>
      <w:r>
        <w:rPr>
          <w:rFonts w:hint="eastAsia"/>
        </w:rPr>
        <w:t xml:space="preserve"> (proportional hazard) 假设</w:t>
      </w:r>
      <w:r>
        <w:t>成立。</w:t>
      </w:r>
    </w:p>
    <w:p w14:paraId="332F65C1">
      <w:pPr>
        <w:rPr>
          <w:b/>
          <w:bCs/>
        </w:rPr>
      </w:pPr>
      <w:r>
        <w:rPr>
          <w:rFonts w:hint="eastAsia"/>
          <w:b/>
          <w:bCs/>
        </w:rPr>
        <w:t xml:space="preserve">问题2.1.1 </w:t>
      </w:r>
      <w:r>
        <w:rPr>
          <w:b/>
          <w:bCs/>
        </w:rPr>
        <w:t>(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  <w:r>
        <w:rPr>
          <w:b/>
          <w:bCs/>
        </w:rPr>
        <w:t>)</w:t>
      </w:r>
      <w:r>
        <w:rPr>
          <w:rFonts w:hint="eastAsia"/>
          <w:b/>
          <w:bCs/>
        </w:rPr>
        <w:t>：</w:t>
      </w:r>
    </w:p>
    <w:p w14:paraId="332F65C3">
      <w:r>
        <w:rPr>
          <w:rFonts w:hint="eastAsia"/>
        </w:rPr>
        <w:t>假设：</w:t>
      </w:r>
    </w:p>
    <w:p w14:paraId="332F65C5">
      <w:pPr>
        <w:numPr>
          <w:ilvl w:val="0"/>
          <w:numId w:val="1"/>
        </w:numPr>
      </w:pPr>
      <w:r>
        <w:t>阳性人群入组160例患者，入组速率为10人/月，为简化问题，不考虑脱落</w:t>
      </w:r>
      <w:r>
        <w:rPr>
          <w:rFonts w:hint="eastAsia"/>
        </w:rPr>
        <w:t>风险</w:t>
      </w:r>
      <w:r>
        <w:t>，试验计划进行3年，每个患者随访至发生生存终点事件或试验结束;</w:t>
      </w:r>
    </w:p>
    <w:p w14:paraId="332F65C7">
      <w:pPr>
        <w:numPr>
          <w:ilvl w:val="0"/>
          <w:numId w:val="1"/>
        </w:numPr>
      </w:pPr>
      <w:r>
        <w:rPr>
          <w:rFonts w:hint="eastAsia"/>
        </w:rPr>
        <w:t>阳性人群使用</w:t>
      </w:r>
      <w:r>
        <w:t>S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的2年生存率为</w:t>
      </w:r>
      <w:r>
        <w:t xml:space="preserve"> 50%</w:t>
      </w:r>
      <w:r>
        <w:rPr>
          <w:rFonts w:hint="eastAsia"/>
        </w:rPr>
        <w:t>， 两治疗组的风险比 (</w:t>
      </w:r>
      <w:r>
        <w:t>HR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为</w:t>
      </w:r>
      <w:r>
        <w:t>0.51</w:t>
      </w:r>
      <w:r>
        <w:rPr>
          <w:rFonts w:hint="eastAsia"/>
        </w:rPr>
        <w:t>;</w:t>
      </w:r>
    </w:p>
    <w:p w14:paraId="332F65C8">
      <w:pPr>
        <w:numPr>
          <w:ilvl w:val="0"/>
          <w:numId w:val="1"/>
        </w:numPr>
      </w:pPr>
      <w:r>
        <w:rPr>
          <w:rFonts w:hint="eastAsia"/>
        </w:rPr>
        <w:t>如同时招募阴性人群，则阴性人群入组人数，速率均与阳性人群相同, 但使用</w:t>
      </w:r>
      <w:r>
        <w:t>S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的2年生存率为</w:t>
      </w:r>
      <w:r>
        <w:t xml:space="preserve"> </w:t>
      </w:r>
      <w:r>
        <w:rPr>
          <w:rFonts w:hint="eastAsia"/>
        </w:rPr>
        <w:t>7</w:t>
      </w:r>
      <w:r>
        <w:t>0%</w:t>
      </w:r>
      <w:r>
        <w:rPr>
          <w:rFonts w:hint="eastAsia"/>
        </w:rPr>
        <w:t>；</w:t>
      </w:r>
    </w:p>
    <w:p w14:paraId="64A8EEAB">
      <w:pPr>
        <w:numPr>
          <w:ilvl w:val="0"/>
          <w:numId w:val="1"/>
        </w:numPr>
      </w:pPr>
      <w:r>
        <w:rPr>
          <w:rFonts w:hint="eastAsia"/>
        </w:rPr>
        <w:t>在阴性人群中考虑以下3种不同的风险比：</w:t>
      </w:r>
      <w:r>
        <w:t>0.57, 0.67 and 0.76</w:t>
      </w:r>
      <w:r>
        <w:rPr>
          <w:rFonts w:hint="eastAsia"/>
        </w:rPr>
        <w:t>；</w:t>
      </w:r>
    </w:p>
    <w:p w14:paraId="627D7EBD">
      <w:pPr>
        <w:numPr>
          <w:ilvl w:val="0"/>
          <w:numId w:val="1"/>
        </w:numPr>
      </w:pPr>
      <w:r>
        <w:t>无期中分析</w:t>
      </w:r>
      <w:r>
        <w:rPr>
          <w:rFonts w:hint="eastAsia"/>
        </w:rPr>
        <w:t>。</w:t>
      </w:r>
    </w:p>
    <w:p w14:paraId="332F65CE">
      <w:r>
        <w:rPr>
          <w:rFonts w:hint="eastAsia"/>
        </w:rPr>
        <w:t>计算：</w:t>
      </w:r>
    </w:p>
    <w:p w14:paraId="2ADA80C6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在阳性人群中，在单侧0.025一类错误水平上对该终点使用</w:t>
      </w:r>
      <w:r>
        <w:rPr>
          <w:highlight w:val="yellow"/>
        </w:rPr>
        <w:t xml:space="preserve">log-rank </w:t>
      </w:r>
      <w:r>
        <w:rPr>
          <w:rFonts w:hint="eastAsia"/>
          <w:highlight w:val="yellow"/>
        </w:rPr>
        <w:t>test进行优效性检验，计算检验效能；</w:t>
      </w:r>
    </w:p>
    <w:p w14:paraId="0D76F3D9">
      <w:pPr>
        <w:numPr>
          <w:ilvl w:val="0"/>
          <w:numId w:val="2"/>
        </w:numPr>
        <w:rPr>
          <w:highlight w:val="yellow"/>
        </w:rPr>
      </w:pPr>
      <w:r>
        <w:rPr>
          <w:rFonts w:hint="eastAsia"/>
          <w:highlight w:val="yellow"/>
        </w:rPr>
        <w:t>在全人群中，在单侧0.025一类错误水平上对该终点使用</w:t>
      </w:r>
      <w:r>
        <w:rPr>
          <w:highlight w:val="yellow"/>
        </w:rPr>
        <w:t xml:space="preserve">log-rank </w:t>
      </w:r>
      <w:r>
        <w:rPr>
          <w:rFonts w:hint="eastAsia"/>
          <w:highlight w:val="yellow"/>
        </w:rPr>
        <w:t>test进行优效性检验，计算检验效能。</w:t>
      </w:r>
    </w:p>
    <w:p w14:paraId="38CA47E6">
      <w:pPr>
        <w:numPr>
          <w:numId w:val="0"/>
        </w:numPr>
        <w:ind w:leftChars="0"/>
        <w:rPr>
          <w:highlight w:val="yellow"/>
        </w:rPr>
      </w:pPr>
    </w:p>
    <w:p w14:paraId="684D664C">
      <w:pPr>
        <w:rPr>
          <w:b/>
          <w:bCs/>
        </w:rPr>
      </w:pPr>
      <w:r>
        <w:rPr>
          <w:rFonts w:hint="eastAsia"/>
          <w:b/>
          <w:bCs/>
        </w:rPr>
        <w:t xml:space="preserve">问题2.1.2 </w:t>
      </w:r>
      <w:r>
        <w:rPr>
          <w:b/>
          <w:bCs/>
        </w:rPr>
        <w:t>(</w:t>
      </w:r>
      <w:r>
        <w:rPr>
          <w:rFonts w:hint="eastAsia"/>
          <w:b/>
          <w:bCs/>
        </w:rPr>
        <w:t>4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  <w:r>
        <w:rPr>
          <w:b/>
          <w:bCs/>
        </w:rPr>
        <w:t>)</w:t>
      </w:r>
      <w:r>
        <w:rPr>
          <w:rFonts w:hint="eastAsia"/>
          <w:b/>
          <w:bCs/>
        </w:rPr>
        <w:t>：</w:t>
      </w:r>
    </w:p>
    <w:p w14:paraId="295359ED">
      <w:pPr>
        <w:rPr>
          <w:rFonts w:hint="eastAsia"/>
          <w:highlight w:val="yellow"/>
        </w:rPr>
      </w:pPr>
      <w:r>
        <w:rPr>
          <w:rFonts w:hint="eastAsia"/>
        </w:rPr>
        <w:t>阳性人群假设不变，阴性人群比例从0%考虑到70%，假设均可以与阳性人群同时招募完成，阴性人群中两治疗组的HR不确定。以仅入组阳性人群的检验效能作为基准，研究纳入阴性人群对总人群的检验效能（仍使用单侧0.025水平）的影响，并回答</w:t>
      </w:r>
      <w:r>
        <w:rPr>
          <w:rFonts w:hint="eastAsia"/>
          <w:highlight w:val="yellow"/>
        </w:rPr>
        <w:t xml:space="preserve">阴性人群的HR为多少时对全人群检验效能有正向影响。 </w:t>
      </w:r>
    </w:p>
    <w:p w14:paraId="3F0B1631">
      <w:pPr>
        <w:rPr>
          <w:rFonts w:hint="eastAsia"/>
        </w:rPr>
      </w:pPr>
    </w:p>
    <w:p w14:paraId="2E0AD821">
      <w:r>
        <w:rPr>
          <w:rFonts w:hint="eastAsia"/>
          <w:b/>
          <w:bCs/>
        </w:rPr>
        <w:t>问题2.2</w:t>
      </w:r>
      <w:r>
        <w:rPr>
          <w:rFonts w:hint="eastAsia"/>
        </w:rPr>
        <w:t>：基本设定与问题x.1相同。阳性和阴性人群分别固定占比</w:t>
      </w:r>
      <w:r>
        <w:t>50%。</w:t>
      </w:r>
      <w:r>
        <w:rPr>
          <w:rFonts w:hint="eastAsia"/>
        </w:rPr>
        <w:t>对照组</w:t>
      </w:r>
      <w:r>
        <w:t>中位生存期为12个月。在阳性人群中，试验组</w:t>
      </w:r>
      <w:r>
        <w:rPr>
          <w:rFonts w:hint="eastAsia"/>
        </w:rPr>
        <w:t>X</w:t>
      </w:r>
      <w:r>
        <w:t>和对照组</w:t>
      </w:r>
      <w:r>
        <w:rPr>
          <w:rFonts w:hint="eastAsia"/>
        </w:rPr>
        <w:t>SoC</w:t>
      </w:r>
      <w:r>
        <w:t>的风险比(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HR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阳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)为0.6，在阴性人群中，试验组</w:t>
      </w:r>
      <w:r>
        <w:rPr>
          <w:rFonts w:hint="eastAsia"/>
        </w:rPr>
        <w:t>X</w:t>
      </w:r>
      <w:r>
        <w:t>和对照组</w:t>
      </w:r>
      <w:r>
        <w:rPr>
          <w:rFonts w:hint="eastAsia"/>
        </w:rPr>
        <w:t>SoC</w:t>
      </w:r>
      <w:r>
        <w:t>的风险比(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eastAsia" w:ascii="Cambria Math" w:hAnsi="Cambria Math"/>
              </w:rPr>
              <m:t>HR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阴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)为0.8</w:t>
      </w:r>
      <w:r>
        <w:rPr>
          <w:rFonts w:hint="eastAsia"/>
        </w:rPr>
        <w:t>。计划在试验中在全人群和阳性人群中分别使用</w:t>
      </w:r>
      <w:r>
        <w:t>log-rank test</w:t>
      </w:r>
      <w:r>
        <w:rPr>
          <w:rFonts w:hint="eastAsia"/>
        </w:rPr>
        <w:t>进行优效性检验，</w:t>
      </w:r>
      <w:r>
        <w:t>无期中分析。为强控制总一类错误到单侧0.025，计划使用</w:t>
      </w:r>
      <w:r>
        <w:rPr>
          <w:rFonts w:hint="eastAsia"/>
        </w:rPr>
        <w:t>图示法 (</w:t>
      </w:r>
      <w:r>
        <w:t>graphical approach</w:t>
      </w:r>
      <w:r>
        <w:rPr>
          <w:rFonts w:hint="eastAsia"/>
        </w:rPr>
        <w:t xml:space="preserve">): </w:t>
      </w:r>
      <w:r>
        <w:t>总的一类错误率0.025在两个检验间进行初始分配，</w:t>
      </w:r>
      <w:r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全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阳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，二者满足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全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阳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=0.025。当任何一个检验可以拒绝零假设，则该检验的alpha可以重新分配给另一假设检验，即另一假设检验可使用单侧0.025。</w:t>
      </w:r>
      <w:r>
        <w:rPr>
          <w:rFonts w:hint="eastAsia"/>
        </w:rPr>
        <w:t>计划在全人群招募40</w:t>
      </w:r>
      <w:r>
        <w:t>0例患者</w:t>
      </w:r>
      <w:r>
        <w:rPr>
          <w:rFonts w:hint="eastAsia"/>
        </w:rPr>
        <w:t>，阳性和阴性患者同时入组</w:t>
      </w:r>
      <w:r>
        <w:t>，</w:t>
      </w:r>
      <w:r>
        <w:rPr>
          <w:rFonts w:hint="eastAsia"/>
        </w:rPr>
        <w:t>入组速率均为10人/月，即整个试验入组速率为20人/月，</w:t>
      </w:r>
      <w:r>
        <w:t xml:space="preserve"> </w:t>
      </w:r>
      <w:r>
        <w:rPr>
          <w:rFonts w:hint="eastAsia"/>
        </w:rPr>
        <w:t>每个患者随访至发生生存终点事件或试验结束</w:t>
      </w:r>
      <w:r>
        <w:t>, 并在积累</w:t>
      </w:r>
      <w:r>
        <w:rPr>
          <w:rFonts w:hint="eastAsia"/>
        </w:rPr>
        <w:t>30</w:t>
      </w:r>
      <w:r>
        <w:t>0例患者发生事件时进行主要分析</w:t>
      </w:r>
      <w:r>
        <w:rPr>
          <w:rFonts w:hint="eastAsia"/>
        </w:rPr>
        <w:t>。</w:t>
      </w:r>
      <w:r>
        <w:t>为简化问题，不考虑患者脱落风险。</w:t>
      </w:r>
    </w:p>
    <w:p w14:paraId="7030675B">
      <w:r>
        <w:t>请根据以下目标回答如何进行一类错误的初始分配，即确定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全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eastAsia" w:ascii="Cambria Math" w:hAnsi="Cambria Math"/>
              </w:rPr>
              <m:t>阳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：</w:t>
      </w:r>
    </w:p>
    <w:p w14:paraId="0BF9F550">
      <w:pPr>
        <w:rPr>
          <w:highlight w:val="yellow"/>
        </w:rPr>
      </w:pPr>
      <w:r>
        <w:rPr>
          <w:rFonts w:hint="eastAsia"/>
          <w:b/>
          <w:bCs/>
        </w:rPr>
        <w:t>问题2.2.1</w:t>
      </w:r>
      <w:r>
        <w:rPr>
          <w:rFonts w:hint="eastAsia"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  <w:r>
        <w:rPr>
          <w:b/>
          <w:bCs/>
        </w:rPr>
        <w:t>)</w:t>
      </w:r>
      <w:r>
        <w:rPr>
          <w:rFonts w:hint="eastAsia"/>
        </w:rPr>
        <w:t>：</w:t>
      </w:r>
      <w:r>
        <w:rPr>
          <w:highlight w:val="yellow"/>
        </w:rPr>
        <w:t>如何分配使得在两个人群中均可拒绝零假设的概率最大，并给出该概率；</w:t>
      </w:r>
    </w:p>
    <w:p w14:paraId="0F44BD3B">
      <w:pPr>
        <w:rPr>
          <w:highlight w:val="yellow"/>
        </w:rPr>
      </w:pPr>
      <w:r>
        <w:rPr>
          <w:rFonts w:hint="eastAsia"/>
          <w:b/>
          <w:bCs/>
        </w:rPr>
        <w:t xml:space="preserve">问题2.2.2 </w:t>
      </w:r>
      <w:r>
        <w:rPr>
          <w:b/>
          <w:bCs/>
        </w:rPr>
        <w:t>(</w:t>
      </w:r>
      <w:r>
        <w:rPr>
          <w:rFonts w:hint="eastAsia"/>
          <w:b/>
          <w:bCs/>
        </w:rPr>
        <w:t>3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  <w:r>
        <w:rPr>
          <w:b/>
          <w:bCs/>
        </w:rPr>
        <w:t>)</w:t>
      </w:r>
      <w:r>
        <w:rPr>
          <w:rFonts w:hint="eastAsia"/>
        </w:rPr>
        <w:t>：</w:t>
      </w:r>
      <w:r>
        <w:rPr>
          <w:highlight w:val="yellow"/>
        </w:rPr>
        <w:t>如何分配使得在至少一个人群中可拒绝零假设的概率最大，并给出该概率</w:t>
      </w:r>
      <w:r>
        <w:rPr>
          <w:rFonts w:hint="eastAsia"/>
          <w:highlight w:val="yellow"/>
        </w:rPr>
        <w:t>。</w:t>
      </w:r>
    </w:p>
    <w:p w14:paraId="3C62EEFE">
      <w:pPr>
        <w:rPr>
          <w:highlight w:val="yellow"/>
        </w:rPr>
      </w:pPr>
      <w:r>
        <w:rPr>
          <w:rFonts w:hint="eastAsia"/>
          <w:highlight w:val="yellow"/>
        </w:rPr>
        <w:t>使用理论推导应该给出方法阐述，使用模拟应阐述模拟的设置，结果和结论。仅给出答案不得分。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FDE84"/>
    <w:multiLevelType w:val="singleLevel"/>
    <w:tmpl w:val="DAFFDE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FFBDD47E"/>
    <w:multiLevelType w:val="singleLevel"/>
    <w:tmpl w:val="FFBDD4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EE8461"/>
    <w:rsid w:val="00001190"/>
    <w:rsid w:val="00010A65"/>
    <w:rsid w:val="000122A9"/>
    <w:rsid w:val="00016802"/>
    <w:rsid w:val="00024A56"/>
    <w:rsid w:val="00025116"/>
    <w:rsid w:val="00025B7C"/>
    <w:rsid w:val="00026D64"/>
    <w:rsid w:val="00036241"/>
    <w:rsid w:val="000366D8"/>
    <w:rsid w:val="00044D77"/>
    <w:rsid w:val="00045609"/>
    <w:rsid w:val="00047713"/>
    <w:rsid w:val="0005065A"/>
    <w:rsid w:val="00051592"/>
    <w:rsid w:val="00053DB1"/>
    <w:rsid w:val="00061B38"/>
    <w:rsid w:val="00065CCB"/>
    <w:rsid w:val="00067D79"/>
    <w:rsid w:val="00081518"/>
    <w:rsid w:val="00081FFB"/>
    <w:rsid w:val="00082E6F"/>
    <w:rsid w:val="00085660"/>
    <w:rsid w:val="00093752"/>
    <w:rsid w:val="000939BC"/>
    <w:rsid w:val="00093AFC"/>
    <w:rsid w:val="00093B5E"/>
    <w:rsid w:val="00096580"/>
    <w:rsid w:val="000971E7"/>
    <w:rsid w:val="00097EF7"/>
    <w:rsid w:val="000A4081"/>
    <w:rsid w:val="000B07EF"/>
    <w:rsid w:val="000B71BA"/>
    <w:rsid w:val="000B72D7"/>
    <w:rsid w:val="000C025F"/>
    <w:rsid w:val="000C73FD"/>
    <w:rsid w:val="000D0B31"/>
    <w:rsid w:val="000D3B1F"/>
    <w:rsid w:val="000D7273"/>
    <w:rsid w:val="000F4299"/>
    <w:rsid w:val="000F5D37"/>
    <w:rsid w:val="000F71CB"/>
    <w:rsid w:val="00100717"/>
    <w:rsid w:val="00101263"/>
    <w:rsid w:val="00101C2D"/>
    <w:rsid w:val="00105131"/>
    <w:rsid w:val="00105286"/>
    <w:rsid w:val="00124029"/>
    <w:rsid w:val="00126F4C"/>
    <w:rsid w:val="00137B23"/>
    <w:rsid w:val="00143153"/>
    <w:rsid w:val="00154081"/>
    <w:rsid w:val="001619F0"/>
    <w:rsid w:val="00164FE6"/>
    <w:rsid w:val="00171F13"/>
    <w:rsid w:val="001727E6"/>
    <w:rsid w:val="0017416D"/>
    <w:rsid w:val="00174646"/>
    <w:rsid w:val="00176479"/>
    <w:rsid w:val="001818FC"/>
    <w:rsid w:val="00185F49"/>
    <w:rsid w:val="00190BD2"/>
    <w:rsid w:val="001939FD"/>
    <w:rsid w:val="0019565B"/>
    <w:rsid w:val="001971BC"/>
    <w:rsid w:val="001976CA"/>
    <w:rsid w:val="001A21FD"/>
    <w:rsid w:val="001A2852"/>
    <w:rsid w:val="001A5234"/>
    <w:rsid w:val="001A6AAE"/>
    <w:rsid w:val="001B161E"/>
    <w:rsid w:val="001B5194"/>
    <w:rsid w:val="001C201E"/>
    <w:rsid w:val="001C7170"/>
    <w:rsid w:val="001D106D"/>
    <w:rsid w:val="001D1828"/>
    <w:rsid w:val="001D1DDB"/>
    <w:rsid w:val="001D2906"/>
    <w:rsid w:val="001E3547"/>
    <w:rsid w:val="001E3A78"/>
    <w:rsid w:val="001E6D1C"/>
    <w:rsid w:val="001F5BCD"/>
    <w:rsid w:val="001F6A04"/>
    <w:rsid w:val="00201B1F"/>
    <w:rsid w:val="00205402"/>
    <w:rsid w:val="00207E19"/>
    <w:rsid w:val="002125AA"/>
    <w:rsid w:val="00221638"/>
    <w:rsid w:val="00224A2C"/>
    <w:rsid w:val="002311EB"/>
    <w:rsid w:val="00233A19"/>
    <w:rsid w:val="00236692"/>
    <w:rsid w:val="00242174"/>
    <w:rsid w:val="0025690D"/>
    <w:rsid w:val="00260C0F"/>
    <w:rsid w:val="00263138"/>
    <w:rsid w:val="00266518"/>
    <w:rsid w:val="00271E80"/>
    <w:rsid w:val="002756C7"/>
    <w:rsid w:val="00282330"/>
    <w:rsid w:val="00282C73"/>
    <w:rsid w:val="00283C0E"/>
    <w:rsid w:val="00290193"/>
    <w:rsid w:val="0029187E"/>
    <w:rsid w:val="002971C8"/>
    <w:rsid w:val="002A082A"/>
    <w:rsid w:val="002A10F6"/>
    <w:rsid w:val="002A280A"/>
    <w:rsid w:val="002A4EEE"/>
    <w:rsid w:val="002C0977"/>
    <w:rsid w:val="002D0AB8"/>
    <w:rsid w:val="002D7CD7"/>
    <w:rsid w:val="002E0649"/>
    <w:rsid w:val="002E4FBA"/>
    <w:rsid w:val="003016D3"/>
    <w:rsid w:val="00302E5B"/>
    <w:rsid w:val="00307465"/>
    <w:rsid w:val="00317470"/>
    <w:rsid w:val="00323C70"/>
    <w:rsid w:val="0032400B"/>
    <w:rsid w:val="003313CF"/>
    <w:rsid w:val="00333077"/>
    <w:rsid w:val="003403EE"/>
    <w:rsid w:val="00342D40"/>
    <w:rsid w:val="0034310A"/>
    <w:rsid w:val="00344F64"/>
    <w:rsid w:val="00345758"/>
    <w:rsid w:val="003470FD"/>
    <w:rsid w:val="00347D5D"/>
    <w:rsid w:val="0035079B"/>
    <w:rsid w:val="003570B5"/>
    <w:rsid w:val="00360723"/>
    <w:rsid w:val="003701BC"/>
    <w:rsid w:val="00375CF6"/>
    <w:rsid w:val="003910F0"/>
    <w:rsid w:val="003926AF"/>
    <w:rsid w:val="0039579A"/>
    <w:rsid w:val="003A2AC0"/>
    <w:rsid w:val="003A2B91"/>
    <w:rsid w:val="003A4B6D"/>
    <w:rsid w:val="003A7682"/>
    <w:rsid w:val="003B1237"/>
    <w:rsid w:val="003B232D"/>
    <w:rsid w:val="003B29DF"/>
    <w:rsid w:val="003B72C1"/>
    <w:rsid w:val="003C27F6"/>
    <w:rsid w:val="003D2C09"/>
    <w:rsid w:val="003E2D16"/>
    <w:rsid w:val="003E2D40"/>
    <w:rsid w:val="003E5E22"/>
    <w:rsid w:val="003E7F16"/>
    <w:rsid w:val="003F7A9A"/>
    <w:rsid w:val="00401950"/>
    <w:rsid w:val="004022AF"/>
    <w:rsid w:val="004058FE"/>
    <w:rsid w:val="004069F9"/>
    <w:rsid w:val="00411C3B"/>
    <w:rsid w:val="00421ECF"/>
    <w:rsid w:val="004251CC"/>
    <w:rsid w:val="004278FE"/>
    <w:rsid w:val="0043669E"/>
    <w:rsid w:val="004429F7"/>
    <w:rsid w:val="00443D0A"/>
    <w:rsid w:val="004454CE"/>
    <w:rsid w:val="00447303"/>
    <w:rsid w:val="0046060B"/>
    <w:rsid w:val="0046210D"/>
    <w:rsid w:val="0046586C"/>
    <w:rsid w:val="004673BF"/>
    <w:rsid w:val="00476040"/>
    <w:rsid w:val="0047649F"/>
    <w:rsid w:val="00482CFF"/>
    <w:rsid w:val="00485A5E"/>
    <w:rsid w:val="00494B7B"/>
    <w:rsid w:val="004A41BC"/>
    <w:rsid w:val="004A70A0"/>
    <w:rsid w:val="004B103C"/>
    <w:rsid w:val="004B17E2"/>
    <w:rsid w:val="004B31D8"/>
    <w:rsid w:val="004B7159"/>
    <w:rsid w:val="004C57D7"/>
    <w:rsid w:val="004E352E"/>
    <w:rsid w:val="004E618F"/>
    <w:rsid w:val="004F2142"/>
    <w:rsid w:val="004F4F8B"/>
    <w:rsid w:val="004F520B"/>
    <w:rsid w:val="005007B8"/>
    <w:rsid w:val="00503A28"/>
    <w:rsid w:val="0050790C"/>
    <w:rsid w:val="00520E0A"/>
    <w:rsid w:val="0052283E"/>
    <w:rsid w:val="00522D96"/>
    <w:rsid w:val="005256E7"/>
    <w:rsid w:val="00525F36"/>
    <w:rsid w:val="00527A75"/>
    <w:rsid w:val="0053478C"/>
    <w:rsid w:val="005440F6"/>
    <w:rsid w:val="00544BFA"/>
    <w:rsid w:val="00544E8F"/>
    <w:rsid w:val="00564A7A"/>
    <w:rsid w:val="00564C07"/>
    <w:rsid w:val="005669F2"/>
    <w:rsid w:val="005728A8"/>
    <w:rsid w:val="00573C39"/>
    <w:rsid w:val="00577432"/>
    <w:rsid w:val="005864F3"/>
    <w:rsid w:val="00590A61"/>
    <w:rsid w:val="00595978"/>
    <w:rsid w:val="005A2CBC"/>
    <w:rsid w:val="005A3297"/>
    <w:rsid w:val="005A52E8"/>
    <w:rsid w:val="005A5481"/>
    <w:rsid w:val="005A7387"/>
    <w:rsid w:val="005B0CA2"/>
    <w:rsid w:val="005B15A5"/>
    <w:rsid w:val="005B761E"/>
    <w:rsid w:val="005C3786"/>
    <w:rsid w:val="005C39DC"/>
    <w:rsid w:val="005C70EF"/>
    <w:rsid w:val="005D2C14"/>
    <w:rsid w:val="005D4F92"/>
    <w:rsid w:val="005D71B3"/>
    <w:rsid w:val="005F5116"/>
    <w:rsid w:val="005F5AC9"/>
    <w:rsid w:val="006014ED"/>
    <w:rsid w:val="006026FF"/>
    <w:rsid w:val="00610226"/>
    <w:rsid w:val="00616955"/>
    <w:rsid w:val="00617683"/>
    <w:rsid w:val="00620566"/>
    <w:rsid w:val="0062305C"/>
    <w:rsid w:val="00630D6E"/>
    <w:rsid w:val="0063105B"/>
    <w:rsid w:val="00632DAB"/>
    <w:rsid w:val="006345B5"/>
    <w:rsid w:val="006363F4"/>
    <w:rsid w:val="006430CF"/>
    <w:rsid w:val="006433A1"/>
    <w:rsid w:val="00651549"/>
    <w:rsid w:val="00657889"/>
    <w:rsid w:val="00664342"/>
    <w:rsid w:val="00664C3A"/>
    <w:rsid w:val="006661C7"/>
    <w:rsid w:val="006703FB"/>
    <w:rsid w:val="006710FF"/>
    <w:rsid w:val="006835BB"/>
    <w:rsid w:val="00683A93"/>
    <w:rsid w:val="00684624"/>
    <w:rsid w:val="00690F58"/>
    <w:rsid w:val="00693383"/>
    <w:rsid w:val="00694B90"/>
    <w:rsid w:val="0069555D"/>
    <w:rsid w:val="00695B6C"/>
    <w:rsid w:val="006A256B"/>
    <w:rsid w:val="006A2E85"/>
    <w:rsid w:val="006A3A48"/>
    <w:rsid w:val="006A5574"/>
    <w:rsid w:val="006B3118"/>
    <w:rsid w:val="006B4BFC"/>
    <w:rsid w:val="006C0141"/>
    <w:rsid w:val="006C081D"/>
    <w:rsid w:val="006C2360"/>
    <w:rsid w:val="006C750B"/>
    <w:rsid w:val="006D2AD8"/>
    <w:rsid w:val="006D63FC"/>
    <w:rsid w:val="006E0F97"/>
    <w:rsid w:val="006E4361"/>
    <w:rsid w:val="006E481B"/>
    <w:rsid w:val="006F488C"/>
    <w:rsid w:val="006F60D7"/>
    <w:rsid w:val="006F7FF4"/>
    <w:rsid w:val="00700483"/>
    <w:rsid w:val="0070739C"/>
    <w:rsid w:val="00715C66"/>
    <w:rsid w:val="007242A8"/>
    <w:rsid w:val="0072482B"/>
    <w:rsid w:val="00725B4B"/>
    <w:rsid w:val="007274BB"/>
    <w:rsid w:val="00733F74"/>
    <w:rsid w:val="00736CDE"/>
    <w:rsid w:val="00744BAC"/>
    <w:rsid w:val="00747720"/>
    <w:rsid w:val="007506D6"/>
    <w:rsid w:val="00750D71"/>
    <w:rsid w:val="0075670F"/>
    <w:rsid w:val="0076431D"/>
    <w:rsid w:val="00770A29"/>
    <w:rsid w:val="00773592"/>
    <w:rsid w:val="00773C7A"/>
    <w:rsid w:val="007931DD"/>
    <w:rsid w:val="0079604D"/>
    <w:rsid w:val="007A13C7"/>
    <w:rsid w:val="007A1552"/>
    <w:rsid w:val="007B325B"/>
    <w:rsid w:val="007B627A"/>
    <w:rsid w:val="007C2554"/>
    <w:rsid w:val="007C3842"/>
    <w:rsid w:val="007C4417"/>
    <w:rsid w:val="007C677A"/>
    <w:rsid w:val="007D278D"/>
    <w:rsid w:val="007D4CDC"/>
    <w:rsid w:val="007E3AE2"/>
    <w:rsid w:val="007E7C5D"/>
    <w:rsid w:val="007F09A5"/>
    <w:rsid w:val="008005F5"/>
    <w:rsid w:val="00804FCE"/>
    <w:rsid w:val="00813632"/>
    <w:rsid w:val="008224D6"/>
    <w:rsid w:val="008248EB"/>
    <w:rsid w:val="00825EE9"/>
    <w:rsid w:val="008275F2"/>
    <w:rsid w:val="00830917"/>
    <w:rsid w:val="00830C51"/>
    <w:rsid w:val="00831051"/>
    <w:rsid w:val="008360BD"/>
    <w:rsid w:val="00837FA9"/>
    <w:rsid w:val="00842D01"/>
    <w:rsid w:val="00844EBA"/>
    <w:rsid w:val="00847CB4"/>
    <w:rsid w:val="00851B49"/>
    <w:rsid w:val="00854A8F"/>
    <w:rsid w:val="0086082E"/>
    <w:rsid w:val="00866C2D"/>
    <w:rsid w:val="00867C07"/>
    <w:rsid w:val="00870EF2"/>
    <w:rsid w:val="008751A4"/>
    <w:rsid w:val="00885FA2"/>
    <w:rsid w:val="00886EF4"/>
    <w:rsid w:val="00887061"/>
    <w:rsid w:val="00887E9F"/>
    <w:rsid w:val="00892E07"/>
    <w:rsid w:val="008A602B"/>
    <w:rsid w:val="008A652E"/>
    <w:rsid w:val="008A75AC"/>
    <w:rsid w:val="008A7ECC"/>
    <w:rsid w:val="008B2C2A"/>
    <w:rsid w:val="008B36F2"/>
    <w:rsid w:val="008C71E6"/>
    <w:rsid w:val="008D568A"/>
    <w:rsid w:val="008E3924"/>
    <w:rsid w:val="008E572F"/>
    <w:rsid w:val="008F26D5"/>
    <w:rsid w:val="008F340A"/>
    <w:rsid w:val="008F63B7"/>
    <w:rsid w:val="00902957"/>
    <w:rsid w:val="009063B7"/>
    <w:rsid w:val="00906C89"/>
    <w:rsid w:val="0090788A"/>
    <w:rsid w:val="00907E08"/>
    <w:rsid w:val="009200E7"/>
    <w:rsid w:val="00922CBD"/>
    <w:rsid w:val="00925EF6"/>
    <w:rsid w:val="00926CA0"/>
    <w:rsid w:val="009311E0"/>
    <w:rsid w:val="009311F9"/>
    <w:rsid w:val="009327B0"/>
    <w:rsid w:val="00944124"/>
    <w:rsid w:val="0094721F"/>
    <w:rsid w:val="00953788"/>
    <w:rsid w:val="00953F35"/>
    <w:rsid w:val="00955FE9"/>
    <w:rsid w:val="00965250"/>
    <w:rsid w:val="009704B5"/>
    <w:rsid w:val="00971D99"/>
    <w:rsid w:val="00976D1F"/>
    <w:rsid w:val="0097779F"/>
    <w:rsid w:val="009800F5"/>
    <w:rsid w:val="00980142"/>
    <w:rsid w:val="00980F4D"/>
    <w:rsid w:val="00984059"/>
    <w:rsid w:val="00986174"/>
    <w:rsid w:val="009B6FD6"/>
    <w:rsid w:val="009B704A"/>
    <w:rsid w:val="009D14EA"/>
    <w:rsid w:val="009D3638"/>
    <w:rsid w:val="009D383B"/>
    <w:rsid w:val="009D4BE9"/>
    <w:rsid w:val="009E11C5"/>
    <w:rsid w:val="009E5315"/>
    <w:rsid w:val="009F3546"/>
    <w:rsid w:val="009F78A4"/>
    <w:rsid w:val="00A0244A"/>
    <w:rsid w:val="00A0525E"/>
    <w:rsid w:val="00A07156"/>
    <w:rsid w:val="00A07D27"/>
    <w:rsid w:val="00A13EBB"/>
    <w:rsid w:val="00A22BF9"/>
    <w:rsid w:val="00A24C94"/>
    <w:rsid w:val="00A342AE"/>
    <w:rsid w:val="00A34684"/>
    <w:rsid w:val="00A434EE"/>
    <w:rsid w:val="00A61924"/>
    <w:rsid w:val="00A65399"/>
    <w:rsid w:val="00A668F1"/>
    <w:rsid w:val="00A673F5"/>
    <w:rsid w:val="00A706FD"/>
    <w:rsid w:val="00A71028"/>
    <w:rsid w:val="00A71DF2"/>
    <w:rsid w:val="00A8054A"/>
    <w:rsid w:val="00A87903"/>
    <w:rsid w:val="00A9243E"/>
    <w:rsid w:val="00A92F28"/>
    <w:rsid w:val="00A94CFC"/>
    <w:rsid w:val="00AA2471"/>
    <w:rsid w:val="00AA4312"/>
    <w:rsid w:val="00AB3D05"/>
    <w:rsid w:val="00AB7BA9"/>
    <w:rsid w:val="00AC0A00"/>
    <w:rsid w:val="00AC17B3"/>
    <w:rsid w:val="00AC7AB8"/>
    <w:rsid w:val="00AC7BA5"/>
    <w:rsid w:val="00AD6707"/>
    <w:rsid w:val="00AE45F9"/>
    <w:rsid w:val="00AE52EB"/>
    <w:rsid w:val="00AE7017"/>
    <w:rsid w:val="00AE7286"/>
    <w:rsid w:val="00B011D9"/>
    <w:rsid w:val="00B01364"/>
    <w:rsid w:val="00B0277E"/>
    <w:rsid w:val="00B02BA8"/>
    <w:rsid w:val="00B07250"/>
    <w:rsid w:val="00B11C6C"/>
    <w:rsid w:val="00B26342"/>
    <w:rsid w:val="00B318AC"/>
    <w:rsid w:val="00B32799"/>
    <w:rsid w:val="00B348FA"/>
    <w:rsid w:val="00B3635E"/>
    <w:rsid w:val="00B50467"/>
    <w:rsid w:val="00B53410"/>
    <w:rsid w:val="00B6051E"/>
    <w:rsid w:val="00B62415"/>
    <w:rsid w:val="00B63872"/>
    <w:rsid w:val="00B70CA7"/>
    <w:rsid w:val="00B70E47"/>
    <w:rsid w:val="00B76448"/>
    <w:rsid w:val="00B83522"/>
    <w:rsid w:val="00B85206"/>
    <w:rsid w:val="00B86F60"/>
    <w:rsid w:val="00B9271B"/>
    <w:rsid w:val="00B93163"/>
    <w:rsid w:val="00B94C68"/>
    <w:rsid w:val="00B94E48"/>
    <w:rsid w:val="00B94EBE"/>
    <w:rsid w:val="00B96DF5"/>
    <w:rsid w:val="00BA1C5F"/>
    <w:rsid w:val="00BA48FB"/>
    <w:rsid w:val="00BA66B4"/>
    <w:rsid w:val="00BC01D0"/>
    <w:rsid w:val="00BD0D2F"/>
    <w:rsid w:val="00BD18E7"/>
    <w:rsid w:val="00BE160A"/>
    <w:rsid w:val="00C229C1"/>
    <w:rsid w:val="00C25A16"/>
    <w:rsid w:val="00C30AA8"/>
    <w:rsid w:val="00C32C2C"/>
    <w:rsid w:val="00C32E1D"/>
    <w:rsid w:val="00C3547B"/>
    <w:rsid w:val="00C36DE5"/>
    <w:rsid w:val="00C46EB7"/>
    <w:rsid w:val="00C536A5"/>
    <w:rsid w:val="00C53E9E"/>
    <w:rsid w:val="00C546E3"/>
    <w:rsid w:val="00C55D31"/>
    <w:rsid w:val="00C648FE"/>
    <w:rsid w:val="00C862C1"/>
    <w:rsid w:val="00C96042"/>
    <w:rsid w:val="00C9697C"/>
    <w:rsid w:val="00C97DCD"/>
    <w:rsid w:val="00CA0B53"/>
    <w:rsid w:val="00CA1ED1"/>
    <w:rsid w:val="00CB796B"/>
    <w:rsid w:val="00CC4353"/>
    <w:rsid w:val="00CD3BB6"/>
    <w:rsid w:val="00CD553A"/>
    <w:rsid w:val="00CE2717"/>
    <w:rsid w:val="00CE6B1B"/>
    <w:rsid w:val="00CF113D"/>
    <w:rsid w:val="00CF7C65"/>
    <w:rsid w:val="00D00010"/>
    <w:rsid w:val="00D017EC"/>
    <w:rsid w:val="00D14906"/>
    <w:rsid w:val="00D15420"/>
    <w:rsid w:val="00D17145"/>
    <w:rsid w:val="00D2037E"/>
    <w:rsid w:val="00D23395"/>
    <w:rsid w:val="00D301E8"/>
    <w:rsid w:val="00D30E5A"/>
    <w:rsid w:val="00D30F47"/>
    <w:rsid w:val="00D3675B"/>
    <w:rsid w:val="00D505CB"/>
    <w:rsid w:val="00D54361"/>
    <w:rsid w:val="00D654E1"/>
    <w:rsid w:val="00D71C78"/>
    <w:rsid w:val="00D71DC7"/>
    <w:rsid w:val="00D73D1E"/>
    <w:rsid w:val="00D74853"/>
    <w:rsid w:val="00D827F8"/>
    <w:rsid w:val="00D85C6F"/>
    <w:rsid w:val="00D978F3"/>
    <w:rsid w:val="00DA06AC"/>
    <w:rsid w:val="00DA165F"/>
    <w:rsid w:val="00DA4AB3"/>
    <w:rsid w:val="00DB47A4"/>
    <w:rsid w:val="00DB6934"/>
    <w:rsid w:val="00DB7767"/>
    <w:rsid w:val="00DC1774"/>
    <w:rsid w:val="00DC1DD4"/>
    <w:rsid w:val="00DC4C09"/>
    <w:rsid w:val="00DD2F01"/>
    <w:rsid w:val="00DD5439"/>
    <w:rsid w:val="00DD610D"/>
    <w:rsid w:val="00DE6A06"/>
    <w:rsid w:val="00DF0653"/>
    <w:rsid w:val="00DF0B8B"/>
    <w:rsid w:val="00DF7627"/>
    <w:rsid w:val="00E11EA4"/>
    <w:rsid w:val="00E149A0"/>
    <w:rsid w:val="00E21B56"/>
    <w:rsid w:val="00E22494"/>
    <w:rsid w:val="00E30009"/>
    <w:rsid w:val="00E314DE"/>
    <w:rsid w:val="00E31B23"/>
    <w:rsid w:val="00E43C33"/>
    <w:rsid w:val="00E46861"/>
    <w:rsid w:val="00E52403"/>
    <w:rsid w:val="00E61127"/>
    <w:rsid w:val="00E624EC"/>
    <w:rsid w:val="00E64598"/>
    <w:rsid w:val="00E73310"/>
    <w:rsid w:val="00E7683B"/>
    <w:rsid w:val="00E851C3"/>
    <w:rsid w:val="00E85AD0"/>
    <w:rsid w:val="00E87E57"/>
    <w:rsid w:val="00E9098B"/>
    <w:rsid w:val="00E91AD2"/>
    <w:rsid w:val="00E95A24"/>
    <w:rsid w:val="00E95AB8"/>
    <w:rsid w:val="00E97DBF"/>
    <w:rsid w:val="00EA0420"/>
    <w:rsid w:val="00EA170B"/>
    <w:rsid w:val="00EC6F19"/>
    <w:rsid w:val="00ED17A8"/>
    <w:rsid w:val="00ED1ED7"/>
    <w:rsid w:val="00ED51D4"/>
    <w:rsid w:val="00EE0351"/>
    <w:rsid w:val="00EE3DC2"/>
    <w:rsid w:val="00EE3E8E"/>
    <w:rsid w:val="00EE4A9E"/>
    <w:rsid w:val="00EE7E62"/>
    <w:rsid w:val="00EF5085"/>
    <w:rsid w:val="00F01C54"/>
    <w:rsid w:val="00F15607"/>
    <w:rsid w:val="00F174A1"/>
    <w:rsid w:val="00F2576F"/>
    <w:rsid w:val="00F26E56"/>
    <w:rsid w:val="00F31833"/>
    <w:rsid w:val="00F34811"/>
    <w:rsid w:val="00F34881"/>
    <w:rsid w:val="00F3733A"/>
    <w:rsid w:val="00F406B9"/>
    <w:rsid w:val="00F61A26"/>
    <w:rsid w:val="00F80E6B"/>
    <w:rsid w:val="00F819F7"/>
    <w:rsid w:val="00F90DEB"/>
    <w:rsid w:val="00F9268E"/>
    <w:rsid w:val="00F9442D"/>
    <w:rsid w:val="00F967FF"/>
    <w:rsid w:val="00FA2CF2"/>
    <w:rsid w:val="00FB03BB"/>
    <w:rsid w:val="00FB0522"/>
    <w:rsid w:val="00FB1766"/>
    <w:rsid w:val="00FC3974"/>
    <w:rsid w:val="00FC3EF5"/>
    <w:rsid w:val="00FD0EC9"/>
    <w:rsid w:val="00FD4F2D"/>
    <w:rsid w:val="00FD5590"/>
    <w:rsid w:val="00FE71B8"/>
    <w:rsid w:val="00FE7713"/>
    <w:rsid w:val="00FE7E5E"/>
    <w:rsid w:val="00FF6093"/>
    <w:rsid w:val="0BF069AF"/>
    <w:rsid w:val="0CD4258F"/>
    <w:rsid w:val="16583221"/>
    <w:rsid w:val="43268364"/>
    <w:rsid w:val="509BD967"/>
    <w:rsid w:val="6FB51A99"/>
    <w:rsid w:val="75EE8461"/>
    <w:rsid w:val="7F14B098"/>
    <w:rsid w:val="F7228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E75B6" w:themeColor="accent1" w:themeShade="BF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E75B6" w:themeColor="accent1" w:themeShade="BF"/>
      <w:sz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E75B6" w:themeColor="accent1" w:themeShade="BF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2"/>
    <w:unhideWhenUsed/>
    <w:qFormat/>
    <w:uiPriority w:val="99"/>
    <w:pPr>
      <w:jc w:val="left"/>
    </w:pPr>
    <w:rPr>
      <w:szCs w:val="22"/>
    </w:rPr>
  </w:style>
  <w:style w:type="paragraph" w:styleId="12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32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6">
    <w:name w:val="annotation subject"/>
    <w:basedOn w:val="11"/>
    <w:next w:val="11"/>
    <w:link w:val="43"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annotation reference"/>
    <w:basedOn w:val="19"/>
    <w:unhideWhenUsed/>
    <w:qFormat/>
    <w:uiPriority w:val="99"/>
    <w:rPr>
      <w:sz w:val="21"/>
      <w:szCs w:val="21"/>
    </w:rPr>
  </w:style>
  <w:style w:type="character" w:customStyle="1" w:styleId="21">
    <w:name w:val="Header Char"/>
    <w:basedOn w:val="19"/>
    <w:link w:val="13"/>
    <w:qFormat/>
    <w:uiPriority w:val="0"/>
    <w:rPr>
      <w:kern w:val="2"/>
      <w:sz w:val="18"/>
      <w:szCs w:val="18"/>
    </w:rPr>
  </w:style>
  <w:style w:type="character" w:customStyle="1" w:styleId="22">
    <w:name w:val="Footer Char"/>
    <w:basedOn w:val="19"/>
    <w:link w:val="12"/>
    <w:qFormat/>
    <w:uiPriority w:val="0"/>
    <w:rPr>
      <w:kern w:val="2"/>
      <w:sz w:val="18"/>
      <w:szCs w:val="18"/>
    </w:rPr>
  </w:style>
  <w:style w:type="character" w:customStyle="1" w:styleId="23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kern w:val="2"/>
      <w:sz w:val="48"/>
      <w:szCs w:val="48"/>
    </w:rPr>
  </w:style>
  <w:style w:type="character" w:customStyle="1" w:styleId="24">
    <w:name w:val="Heading 2 Char"/>
    <w:basedOn w:val="19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kern w:val="2"/>
      <w:sz w:val="40"/>
      <w:szCs w:val="40"/>
    </w:rPr>
  </w:style>
  <w:style w:type="character" w:customStyle="1" w:styleId="25">
    <w:name w:val="Heading 3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kern w:val="2"/>
      <w:sz w:val="32"/>
      <w:szCs w:val="32"/>
    </w:rPr>
  </w:style>
  <w:style w:type="character" w:customStyle="1" w:styleId="26">
    <w:name w:val="Heading 4 Char"/>
    <w:basedOn w:val="19"/>
    <w:link w:val="5"/>
    <w:semiHidden/>
    <w:qFormat/>
    <w:uiPriority w:val="9"/>
    <w:rPr>
      <w:rFonts w:cstheme="majorBidi"/>
      <w:color w:val="2E75B6" w:themeColor="accent1" w:themeShade="BF"/>
      <w:kern w:val="2"/>
      <w:sz w:val="28"/>
      <w:szCs w:val="28"/>
    </w:rPr>
  </w:style>
  <w:style w:type="character" w:customStyle="1" w:styleId="27">
    <w:name w:val="Heading 5 Char"/>
    <w:basedOn w:val="19"/>
    <w:link w:val="6"/>
    <w:semiHidden/>
    <w:qFormat/>
    <w:uiPriority w:val="9"/>
    <w:rPr>
      <w:rFonts w:cstheme="majorBidi"/>
      <w:color w:val="2E75B6" w:themeColor="accent1" w:themeShade="BF"/>
      <w:kern w:val="2"/>
      <w:sz w:val="24"/>
      <w:szCs w:val="24"/>
    </w:rPr>
  </w:style>
  <w:style w:type="character" w:customStyle="1" w:styleId="28">
    <w:name w:val="Heading 6 Char"/>
    <w:basedOn w:val="19"/>
    <w:link w:val="7"/>
    <w:semiHidden/>
    <w:qFormat/>
    <w:uiPriority w:val="9"/>
    <w:rPr>
      <w:rFonts w:cstheme="majorBidi"/>
      <w:b/>
      <w:bCs/>
      <w:color w:val="2E75B6" w:themeColor="accent1" w:themeShade="BF"/>
      <w:kern w:val="2"/>
      <w:sz w:val="21"/>
      <w:szCs w:val="22"/>
    </w:rPr>
  </w:style>
  <w:style w:type="character" w:customStyle="1" w:styleId="29">
    <w:name w:val="Heading 7 Char"/>
    <w:basedOn w:val="19"/>
    <w:link w:val="8"/>
    <w:semiHidden/>
    <w:qFormat/>
    <w:uiPriority w:val="9"/>
    <w:rPr>
      <w:rFonts w:cstheme="majorBidi"/>
      <w:b/>
      <w:bCs/>
      <w:color w:val="595959" w:themeColor="text1" w:themeTint="A6"/>
      <w:kern w:val="2"/>
      <w:sz w:val="21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9"/>
    <w:link w:val="9"/>
    <w:semiHidden/>
    <w:qFormat/>
    <w:uiPriority w:val="9"/>
    <w:rPr>
      <w:rFonts w:cstheme="majorBidi"/>
      <w:color w:val="595959" w:themeColor="text1" w:themeTint="A6"/>
      <w:kern w:val="2"/>
      <w:sz w:val="21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Heading 9 Char"/>
    <w:basedOn w:val="19"/>
    <w:link w:val="10"/>
    <w:semiHidden/>
    <w:qFormat/>
    <w:uiPriority w:val="9"/>
    <w:rPr>
      <w:rFonts w:eastAsiaTheme="majorEastAsia" w:cstheme="majorBidi"/>
      <w:color w:val="595959" w:themeColor="text1" w:themeTint="A6"/>
      <w:kern w:val="2"/>
      <w:sz w:val="21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9"/>
    <w:link w:val="14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kern w:val="2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 w:after="160"/>
      <w:jc w:val="center"/>
    </w:pPr>
    <w:rPr>
      <w:i/>
      <w:iCs/>
      <w:color w:val="404040" w:themeColor="text1" w:themeTint="BF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Quote Char"/>
    <w:basedOn w:val="19"/>
    <w:link w:val="34"/>
    <w:qFormat/>
    <w:uiPriority w:val="29"/>
    <w:rPr>
      <w:i/>
      <w:iCs/>
      <w:color w:val="404040" w:themeColor="text1" w:themeTint="BF"/>
      <w:kern w:val="2"/>
      <w:sz w:val="21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  <w:rPr>
      <w:szCs w:val="22"/>
    </w:rPr>
  </w:style>
  <w:style w:type="character" w:customStyle="1" w:styleId="37">
    <w:name w:val="Intense Emphasis"/>
    <w:basedOn w:val="19"/>
    <w:qFormat/>
    <w:uiPriority w:val="21"/>
    <w:rPr>
      <w:i/>
      <w:iCs/>
      <w:color w:val="2E75B6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  <w:szCs w:val="22"/>
    </w:rPr>
  </w:style>
  <w:style w:type="character" w:customStyle="1" w:styleId="39">
    <w:name w:val="Intense Quote Char"/>
    <w:basedOn w:val="19"/>
    <w:link w:val="38"/>
    <w:qFormat/>
    <w:uiPriority w:val="30"/>
    <w:rPr>
      <w:i/>
      <w:iCs/>
      <w:color w:val="2E75B6" w:themeColor="accent1" w:themeShade="BF"/>
      <w:kern w:val="2"/>
      <w:sz w:val="21"/>
      <w:szCs w:val="22"/>
    </w:rPr>
  </w:style>
  <w:style w:type="character" w:customStyle="1" w:styleId="40">
    <w:name w:val="Intense Reference"/>
    <w:basedOn w:val="19"/>
    <w:qFormat/>
    <w:uiPriority w:val="32"/>
    <w:rPr>
      <w:b/>
      <w:bCs/>
      <w:smallCaps/>
      <w:color w:val="2E75B6" w:themeColor="accent1" w:themeShade="BF"/>
      <w:spacing w:val="5"/>
    </w:rPr>
  </w:style>
  <w:style w:type="character" w:styleId="41">
    <w:name w:val="Placeholder Text"/>
    <w:basedOn w:val="19"/>
    <w:semiHidden/>
    <w:qFormat/>
    <w:uiPriority w:val="99"/>
    <w:rPr>
      <w:color w:val="666666"/>
    </w:rPr>
  </w:style>
  <w:style w:type="character" w:customStyle="1" w:styleId="42">
    <w:name w:val="Comment Text Char"/>
    <w:basedOn w:val="19"/>
    <w:link w:val="11"/>
    <w:qFormat/>
    <w:uiPriority w:val="99"/>
    <w:rPr>
      <w:kern w:val="2"/>
      <w:sz w:val="21"/>
      <w:szCs w:val="22"/>
    </w:rPr>
  </w:style>
  <w:style w:type="character" w:customStyle="1" w:styleId="43">
    <w:name w:val="Comment Subject Char"/>
    <w:basedOn w:val="42"/>
    <w:link w:val="16"/>
    <w:qFormat/>
    <w:uiPriority w:val="99"/>
    <w:rPr>
      <w:b/>
      <w:bCs/>
      <w:kern w:val="2"/>
      <w:sz w:val="21"/>
      <w:szCs w:val="22"/>
    </w:rPr>
  </w:style>
  <w:style w:type="paragraph" w:customStyle="1" w:styleId="44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86CE-D61A-446B-A237-E37737AB70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BeiGene</Company>
  <Pages>2</Pages>
  <Words>1085</Words>
  <Characters>1277</Characters>
  <Lines>9</Lines>
  <Paragraphs>2</Paragraphs>
  <TotalTime>9</TotalTime>
  <ScaleCrop>false</ScaleCrop>
  <LinksUpToDate>false</LinksUpToDate>
  <CharactersWithSpaces>1302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2025-08-13T08:25:00Z</dcterms:created>
  <dc:creator>Yizhi Sun</dc:creator>
  <cp:lastModifiedBy>徐俊海</cp:lastModifiedBy>
  <dcterms:modified xsi:type="dcterms:W3CDTF">2025-09-24T04:58:24Z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235DE6EB1427AF3116127F6866E4E7BB_41</vt:lpwstr>
  </property>
  <property fmtid="{D5CDD505-2E9C-101B-9397-08002B2CF9AE}" pid="4" name="KSOTemplateDocerSaveRecord">
    <vt:lpwstr>eyJoZGlkIjoiNDZlOGI0ZWMxNDk3NWMxOTU0MWI4ZGU4NjY1OWU5ZTUiLCJ1c2VySWQiOiIxNjgzMDczNTYxIn0=</vt:lpwstr>
  </property>
</Properties>
</file>