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1.svg" ContentType="image/svg+xml"/>
  <Override PartName="/word/media/image4.svg" ContentType="image/svg+xml"/>
  <Override PartName="/word/media/image9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5C0F73">
      <w:pPr>
        <w:adjustRightInd w:val="0"/>
        <w:spacing w:line="360" w:lineRule="auto"/>
        <w:rPr>
          <w:rFonts w:hint="eastAsia" w:ascii="宋体" w:hAnsi="宋体"/>
          <w:szCs w:val="24"/>
        </w:rPr>
      </w:pPr>
      <w:r>
        <w:rPr>
          <w:rFonts w:hint="eastAsia" w:ascii="宋体" w:hAnsi="宋体"/>
          <w:b/>
          <w:bCs/>
          <w:sz w:val="28"/>
          <w:szCs w:val="28"/>
        </w:rPr>
        <w:t>复赛大题三</w:t>
      </w:r>
    </w:p>
    <w:p w14:paraId="1D417F2A">
      <w:pPr>
        <w:adjustRightInd w:val="0"/>
        <w:spacing w:line="360" w:lineRule="auto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3.1重构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RCT-B中X阴性组的OS KM曲线</w:t>
      </w:r>
    </w:p>
    <w:p w14:paraId="166F01EE">
      <w:pPr>
        <w:numPr>
          <w:ilvl w:val="0"/>
          <w:numId w:val="1"/>
        </w:numPr>
        <w:adjustRightInd w:val="0"/>
        <w:spacing w:line="360" w:lineRule="auto"/>
        <w:ind w:left="0" w:leftChars="0" w:firstLine="420" w:firstLineChars="0"/>
        <w:rPr>
          <w:rFonts w:hint="eastAsia" w:ascii="宋体" w:hAnsi="宋体"/>
          <w:b/>
          <w:bCs/>
          <w:szCs w:val="24"/>
        </w:rPr>
      </w:pPr>
      <w:r>
        <w:rPr>
          <w:rFonts w:hint="eastAsia" w:ascii="宋体" w:hAnsi="宋体"/>
          <w:b/>
          <w:bCs/>
          <w:szCs w:val="24"/>
        </w:rPr>
        <w:t>方法</w:t>
      </w:r>
    </w:p>
    <w:p w14:paraId="60513AA1">
      <w:pPr>
        <w:adjustRightInd w:val="0"/>
        <w:spacing w:line="360" w:lineRule="auto"/>
        <w:rPr>
          <w:rFonts w:hint="eastAsia" w:ascii="宋体" w:hAnsi="宋体"/>
          <w:szCs w:val="24"/>
        </w:rPr>
      </w:pPr>
      <w:r>
        <w:rPr>
          <w:rFonts w:hint="eastAsia" w:ascii="宋体" w:hAnsi="宋体"/>
          <w:szCs w:val="24"/>
        </w:rPr>
        <w:t>采用基于可加性假设的数学重构方法。利</w:t>
      </w:r>
      <w:r>
        <w:rPr>
          <w:rFonts w:hint="default" w:ascii="Times New Roman" w:hAnsi="Times New Roman" w:cs="Times New Roman"/>
          <w:szCs w:val="24"/>
        </w:rPr>
        <w:t>用ITT人群总体数据和X阳性亚群数据，通过以下公式推导X阴性亚群生存函数：</w:t>
      </w:r>
    </w:p>
    <w:p w14:paraId="4CD19408">
      <w:pPr>
        <w:adjustRightInd w:val="0"/>
        <w:spacing w:line="360" w:lineRule="auto"/>
        <w:jc w:val="center"/>
        <w:rPr>
          <w:rFonts w:hint="eastAsia" w:ascii="宋体" w:hAnsi="宋体"/>
          <w:szCs w:val="24"/>
        </w:rPr>
      </w:pPr>
      <w:r>
        <w:rPr>
          <w:rFonts w:hint="eastAsia" w:ascii="宋体" w:hAnsi="宋体"/>
          <w:position w:val="-12"/>
          <w:szCs w:val="24"/>
        </w:rPr>
        <w:object>
          <v:shape id="_x0000_i1025" o:spt="75" type="#_x0000_t75" style="height:19.85pt;width:227.3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AxMath" ShapeID="_x0000_i1025" DrawAspect="Content" ObjectID="_1468075725" r:id="rId4">
            <o:LockedField>false</o:LockedField>
          </o:OLEObject>
        </w:object>
      </w:r>
    </w:p>
    <w:p w14:paraId="7B810532">
      <w:pPr>
        <w:adjustRightInd w:val="0"/>
        <w:spacing w:line="360" w:lineRule="auto"/>
        <w:rPr>
          <w:rFonts w:hint="eastAsia" w:ascii="宋体" w:hAnsi="宋体"/>
          <w:szCs w:val="24"/>
        </w:rPr>
      </w:pPr>
      <w:r>
        <w:rPr>
          <w:rFonts w:ascii="宋体" w:hAnsi="宋体"/>
          <w:szCs w:val="24"/>
        </w:rPr>
        <w:t>重组得：</w:t>
      </w:r>
    </w:p>
    <w:p w14:paraId="79A2C96F">
      <w:pPr>
        <w:adjustRightInd w:val="0"/>
        <w:spacing w:line="360" w:lineRule="auto"/>
        <w:jc w:val="center"/>
        <w:rPr>
          <w:rFonts w:hint="eastAsia" w:ascii="宋体" w:hAnsi="宋体"/>
          <w:szCs w:val="24"/>
        </w:rPr>
      </w:pPr>
      <w:r>
        <w:rPr>
          <w:rFonts w:hint="eastAsia" w:ascii="宋体" w:hAnsi="宋体"/>
          <w:position w:val="-26"/>
          <w:szCs w:val="24"/>
        </w:rPr>
        <w:object>
          <v:shape id="_x0000_i1026" o:spt="75" type="#_x0000_t75" style="height:35.3pt;width:171.8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AxMath" ShapeID="_x0000_i1026" DrawAspect="Content" ObjectID="_1468075726" r:id="rId6">
            <o:LockedField>false</o:LockedField>
          </o:OLEObject>
        </w:object>
      </w:r>
    </w:p>
    <w:p w14:paraId="7F5CAC46">
      <w:pPr>
        <w:adjustRightInd w:val="0"/>
        <w:spacing w:line="360" w:lineRule="auto"/>
        <w:rPr>
          <w:rFonts w:hint="eastAsia" w:ascii="宋体" w:hAnsi="宋体"/>
          <w:szCs w:val="24"/>
        </w:rPr>
      </w:pPr>
      <w:r>
        <w:rPr>
          <w:rFonts w:ascii="宋体" w:hAnsi="宋体"/>
          <w:szCs w:val="24"/>
        </w:rPr>
        <w:t>其</w:t>
      </w:r>
      <w:r>
        <w:rPr>
          <w:rFonts w:hint="default" w:ascii="Times New Roman" w:hAnsi="Times New Roman" w:cs="Times New Roman"/>
          <w:szCs w:val="24"/>
        </w:rPr>
        <w:t>中p为X阳性</w:t>
      </w:r>
      <w:r>
        <w:rPr>
          <w:rFonts w:hint="default" w:ascii="Times New Roman" w:hAnsi="Times New Roman" w:eastAsia="微软雅黑" w:cs="Times New Roman"/>
          <w:szCs w:val="24"/>
        </w:rPr>
        <w:t>⽐</w:t>
      </w:r>
      <w:r>
        <w:rPr>
          <w:rFonts w:hint="default" w:ascii="Times New Roman" w:hAnsi="Times New Roman" w:cs="Times New Roman"/>
          <w:szCs w:val="24"/>
        </w:rPr>
        <w:t>例。</w:t>
      </w:r>
    </w:p>
    <w:p w14:paraId="7C51FABB">
      <w:pPr>
        <w:adjustRightInd w:val="0"/>
        <w:spacing w:line="360" w:lineRule="auto"/>
        <w:jc w:val="center"/>
        <w:rPr>
          <w:rFonts w:hint="eastAsia" w:ascii="宋体" w:hAnsi="宋体"/>
          <w:szCs w:val="24"/>
        </w:rPr>
      </w:pPr>
      <w:r>
        <w:rPr>
          <w:rFonts w:hint="eastAsia" w:ascii="宋体" w:hAnsi="宋体"/>
          <w:szCs w:val="24"/>
        </w:rPr>
        <w:drawing>
          <wp:inline distT="0" distB="0" distL="0" distR="0">
            <wp:extent cx="4591685" cy="3199765"/>
            <wp:effectExtent l="0" t="0" r="10795" b="635"/>
            <wp:docPr id="1568000256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000256" name="图形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85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09F47">
      <w:pPr>
        <w:numPr>
          <w:ilvl w:val="0"/>
          <w:numId w:val="1"/>
        </w:numPr>
        <w:adjustRightInd w:val="0"/>
        <w:spacing w:line="360" w:lineRule="auto"/>
        <w:ind w:left="0" w:leftChars="0" w:firstLine="420" w:firstLineChars="0"/>
        <w:rPr>
          <w:rFonts w:hint="eastAsia" w:ascii="宋体" w:hAnsi="宋体"/>
          <w:b/>
          <w:bCs/>
          <w:szCs w:val="24"/>
        </w:rPr>
      </w:pPr>
      <w:r>
        <w:rPr>
          <w:rFonts w:hint="eastAsia" w:ascii="宋体" w:hAnsi="宋体"/>
          <w:b/>
          <w:bCs/>
          <w:szCs w:val="24"/>
          <w:lang w:val="en-US" w:eastAsia="zh-CN"/>
        </w:rPr>
        <w:t>结论</w:t>
      </w:r>
    </w:p>
    <w:p w14:paraId="50828109">
      <w:pPr>
        <w:adjustRightInd w:val="0"/>
        <w:spacing w:line="360" w:lineRule="auto"/>
        <w:rPr>
          <w:rFonts w:hint="default" w:ascii="Times New Roman" w:hAnsi="Times New Roman" w:cs="Times New Roman"/>
          <w:b/>
          <w:bCs/>
        </w:rPr>
      </w:pPr>
      <w:r>
        <w:rPr>
          <w:rFonts w:hint="eastAsia" w:ascii="宋体" w:hAnsi="宋体"/>
          <w:b w:val="0"/>
          <w:bCs w:val="0"/>
          <w:szCs w:val="24"/>
          <w:lang w:val="en-US" w:eastAsia="zh-CN"/>
        </w:rPr>
        <w:t>基</w:t>
      </w:r>
      <w:r>
        <w:rPr>
          <w:rFonts w:hint="default" w:ascii="Times New Roman" w:hAnsi="Times New Roman" w:cs="Times New Roman"/>
          <w:b w:val="0"/>
          <w:bCs w:val="0"/>
          <w:szCs w:val="24"/>
          <w:lang w:val="en-US" w:eastAsia="zh-CN"/>
        </w:rPr>
        <w:t>于</w:t>
      </w:r>
      <w:r>
        <w:rPr>
          <w:rFonts w:hint="default" w:ascii="Times New Roman" w:hAnsi="Times New Roman" w:cs="Times New Roman"/>
          <w:b w:val="0"/>
          <w:bCs w:val="0"/>
          <w:szCs w:val="24"/>
        </w:rPr>
        <w:t>Log-rank检验p=0.089，HR=1.23 (95% CI: 0.95-1.59)</w:t>
      </w:r>
      <w:r>
        <w:rPr>
          <w:rFonts w:hint="default" w:ascii="Times New Roman" w:hAnsi="Times New Roman" w:cs="Times New Roman"/>
          <w:b w:val="0"/>
          <w:bCs w:val="0"/>
          <w:szCs w:val="24"/>
          <w:lang w:eastAsia="zh-CN"/>
        </w:rPr>
        <w:t>，</w:t>
      </w:r>
      <w:r>
        <w:rPr>
          <w:rFonts w:hint="default" w:ascii="Times New Roman" w:hAnsi="Times New Roman" w:cs="Times New Roman"/>
          <w:b w:val="0"/>
          <w:bCs w:val="0"/>
          <w:szCs w:val="24"/>
          <w:lang w:val="en-US" w:eastAsia="zh-CN"/>
        </w:rPr>
        <w:t>可得</w:t>
      </w:r>
      <w:r>
        <w:rPr>
          <w:rFonts w:hint="default" w:ascii="Times New Roman" w:hAnsi="Times New Roman" w:cs="Times New Roman"/>
          <w:b w:val="0"/>
          <w:bCs w:val="0"/>
        </w:rPr>
        <w:t>虽然两组生存分布差异无统计学意义，但基本可以得出Drug - A的风险低于Drug- B的重构数据。</w:t>
      </w:r>
    </w:p>
    <w:p w14:paraId="2CA12883">
      <w:pPr>
        <w:adjustRightInd w:val="0"/>
        <w:spacing w:line="360" w:lineRule="auto"/>
        <w:rPr>
          <w:rFonts w:hint="eastAsia" w:ascii="Times New Roman" w:hAnsi="Times New Roman" w:cs="Times New Roman"/>
          <w:b/>
          <w:bCs/>
        </w:rPr>
      </w:pPr>
      <w:r>
        <w:rPr>
          <w:rFonts w:hint="eastAsia" w:ascii="Times New Roman" w:hAnsi="Times New Roman" w:cs="Times New Roman"/>
          <w:b/>
          <w:bCs/>
        </w:rPr>
        <w:t>数据重构局限性:</w:t>
      </w:r>
    </w:p>
    <w:p w14:paraId="40721E6E">
      <w:pPr>
        <w:adjustRightInd w:val="0"/>
        <w:spacing w:line="360" w:lineRule="auto"/>
        <w:rPr>
          <w:rFonts w:hint="eastAsia" w:ascii="Times New Roman" w:hAnsi="Times New Roman" w:cs="Times New Roman"/>
          <w:b w:val="0"/>
          <w:bCs w:val="0"/>
        </w:rPr>
      </w:pPr>
      <w:r>
        <w:rPr>
          <w:rFonts w:hint="eastAsia" w:ascii="Times New Roman" w:hAnsi="Times New Roman" w:cs="Times New Roman"/>
          <w:b w:val="0"/>
          <w:bCs w:val="0"/>
        </w:rPr>
        <w:t>1. 基线协变量推算的不确定性：仅基于ITT和X阳性亚组数据逆向推算X阴性组特征</w:t>
      </w:r>
    </w:p>
    <w:p w14:paraId="72264440">
      <w:pPr>
        <w:adjustRightInd w:val="0"/>
        <w:spacing w:line="360" w:lineRule="auto"/>
        <w:rPr>
          <w:rFonts w:hint="eastAsia" w:ascii="Times New Roman" w:hAnsi="Times New Roman" w:cs="Times New Roman"/>
          <w:b w:val="0"/>
          <w:bCs w:val="0"/>
        </w:rPr>
      </w:pPr>
      <w:r>
        <w:rPr>
          <w:rFonts w:hint="eastAsia" w:ascii="Times New Roman" w:hAnsi="Times New Roman" w:cs="Times New Roman"/>
          <w:b w:val="0"/>
          <w:bCs w:val="0"/>
        </w:rPr>
        <w:t>2. 生存分布假设：假设指数分布可能不符合实际生存模式</w:t>
      </w:r>
    </w:p>
    <w:p w14:paraId="4BBDABD5">
      <w:pPr>
        <w:adjustRightInd w:val="0"/>
        <w:spacing w:line="360" w:lineRule="auto"/>
        <w:rPr>
          <w:rFonts w:hint="eastAsia" w:ascii="Times New Roman" w:hAnsi="Times New Roman" w:cs="Times New Roman"/>
          <w:b w:val="0"/>
          <w:bCs w:val="0"/>
        </w:rPr>
      </w:pPr>
      <w:r>
        <w:rPr>
          <w:rFonts w:hint="eastAsia" w:ascii="Times New Roman" w:hAnsi="Times New Roman" w:cs="Times New Roman"/>
          <w:b w:val="0"/>
          <w:bCs w:val="0"/>
        </w:rPr>
        <w:t>3. 治疗效应假设：Drug-B相对于对照组的HR基于文献假设，缺乏直接证据</w:t>
      </w:r>
    </w:p>
    <w:p w14:paraId="237F7720">
      <w:pPr>
        <w:adjustRightInd w:val="0"/>
        <w:spacing w:line="360" w:lineRule="auto"/>
        <w:rPr>
          <w:rFonts w:hint="eastAsia" w:ascii="Times New Roman" w:hAnsi="Times New Roman" w:cs="Times New Roman"/>
          <w:b w:val="0"/>
          <w:bCs w:val="0"/>
        </w:rPr>
      </w:pPr>
      <w:r>
        <w:rPr>
          <w:rFonts w:hint="eastAsia" w:ascii="Times New Roman" w:hAnsi="Times New Roman" w:cs="Times New Roman"/>
          <w:b w:val="0"/>
          <w:bCs w:val="0"/>
        </w:rPr>
        <w:t>4. 删失模式假设：随机删失假设可能与实际情况不符</w:t>
      </w:r>
    </w:p>
    <w:p w14:paraId="611F905E">
      <w:pPr>
        <w:adjustRightInd w:val="0"/>
        <w:spacing w:line="360" w:lineRule="auto"/>
        <w:rPr>
          <w:rFonts w:hint="eastAsia" w:ascii="Times New Roman" w:hAnsi="Times New Roman" w:cs="Times New Roman"/>
          <w:b w:val="0"/>
          <w:bCs w:val="0"/>
        </w:rPr>
      </w:pPr>
      <w:r>
        <w:rPr>
          <w:rFonts w:hint="eastAsia" w:ascii="Times New Roman" w:hAnsi="Times New Roman" w:cs="Times New Roman"/>
          <w:b w:val="0"/>
          <w:bCs w:val="0"/>
        </w:rPr>
        <w:t>5. 协变量关联性：未考虑年龄、性别等协变量间的相关性</w:t>
      </w:r>
    </w:p>
    <w:p w14:paraId="19BA6EBC">
      <w:pPr>
        <w:adjustRightInd w:val="0"/>
        <w:spacing w:line="360" w:lineRule="auto"/>
        <w:rPr>
          <w:rFonts w:hint="eastAsia" w:ascii="Times New Roman" w:hAnsi="Times New Roman" w:cs="Times New Roman"/>
          <w:b/>
          <w:bCs/>
        </w:rPr>
      </w:pPr>
      <w:r>
        <w:rPr>
          <w:rFonts w:hint="eastAsia" w:ascii="Times New Roman" w:hAnsi="Times New Roman" w:cs="Times New Roman"/>
          <w:b/>
          <w:bCs/>
        </w:rPr>
        <w:t>不确定性处理方法:</w:t>
      </w:r>
    </w:p>
    <w:p w14:paraId="70B7D01D">
      <w:pPr>
        <w:adjustRightInd w:val="0"/>
        <w:spacing w:line="360" w:lineRule="auto"/>
        <w:rPr>
          <w:rFonts w:hint="eastAsia" w:ascii="Times New Roman" w:hAnsi="Times New Roman" w:cs="Times New Roman"/>
          <w:b w:val="0"/>
          <w:bCs w:val="0"/>
        </w:rPr>
      </w:pPr>
      <w:r>
        <w:rPr>
          <w:rFonts w:hint="eastAsia" w:ascii="Times New Roman" w:hAnsi="Times New Roman" w:cs="Times New Roman"/>
          <w:b w:val="0"/>
          <w:bCs w:val="0"/>
        </w:rPr>
        <w:t>1. 敏感性分析：改变关键参数（如HR值）进行多种情景分析</w:t>
      </w:r>
    </w:p>
    <w:p w14:paraId="59897BFE">
      <w:pPr>
        <w:adjustRightInd w:val="0"/>
        <w:spacing w:line="360" w:lineRule="auto"/>
        <w:rPr>
          <w:rFonts w:hint="eastAsia" w:ascii="Times New Roman" w:hAnsi="Times New Roman" w:cs="Times New Roman"/>
          <w:b w:val="0"/>
          <w:bCs w:val="0"/>
        </w:rPr>
      </w:pPr>
      <w:r>
        <w:rPr>
          <w:rFonts w:hint="eastAsia" w:ascii="Times New Roman" w:hAnsi="Times New Roman" w:cs="Times New Roman"/>
          <w:b w:val="0"/>
          <w:bCs w:val="0"/>
        </w:rPr>
        <w:t>2. 置信区间估计：使用Bootstrap方法估计重构参数的不确定性</w:t>
      </w:r>
    </w:p>
    <w:p w14:paraId="1E085651">
      <w:pPr>
        <w:adjustRightInd w:val="0"/>
        <w:spacing w:line="360" w:lineRule="auto"/>
        <w:rPr>
          <w:rFonts w:hint="eastAsia" w:ascii="Times New Roman" w:hAnsi="Times New Roman" w:cs="Times New Roman"/>
          <w:b w:val="0"/>
          <w:bCs w:val="0"/>
        </w:rPr>
      </w:pPr>
      <w:r>
        <w:rPr>
          <w:rFonts w:hint="eastAsia" w:ascii="Times New Roman" w:hAnsi="Times New Roman" w:cs="Times New Roman"/>
          <w:b w:val="0"/>
          <w:bCs w:val="0"/>
        </w:rPr>
        <w:t>3. 模型验证：与已知的ITT结果进行一致性检验</w:t>
      </w:r>
    </w:p>
    <w:p w14:paraId="17FEB287">
      <w:pPr>
        <w:adjustRightInd w:val="0"/>
        <w:spacing w:line="360" w:lineRule="auto"/>
        <w:rPr>
          <w:rFonts w:hint="eastAsia" w:ascii="Times New Roman" w:hAnsi="Times New Roman" w:cs="Times New Roman"/>
          <w:b w:val="0"/>
          <w:bCs w:val="0"/>
        </w:rPr>
      </w:pPr>
      <w:r>
        <w:rPr>
          <w:rFonts w:hint="eastAsia" w:ascii="Times New Roman" w:hAnsi="Times New Roman" w:cs="Times New Roman"/>
          <w:b w:val="0"/>
          <w:bCs w:val="0"/>
        </w:rPr>
        <w:t xml:space="preserve">4. 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根据</w:t>
      </w:r>
      <w:r>
        <w:rPr>
          <w:rFonts w:hint="eastAsia" w:ascii="Times New Roman" w:hAnsi="Times New Roman" w:cs="Times New Roman"/>
          <w:b w:val="0"/>
          <w:bCs w:val="0"/>
        </w:rPr>
        <w:t>专家意见：结合临床专家对治疗效应的先验知识</w:t>
      </w:r>
    </w:p>
    <w:p w14:paraId="5CCACE46">
      <w:pPr>
        <w:adjustRightInd w:val="0"/>
        <w:spacing w:line="360" w:lineRule="auto"/>
        <w:rPr>
          <w:rFonts w:hint="eastAsia" w:ascii="Times New Roman" w:hAnsi="Times New Roman" w:cs="Times New Roman"/>
          <w:b w:val="0"/>
          <w:bCs w:val="0"/>
        </w:rPr>
      </w:pPr>
      <w:r>
        <w:rPr>
          <w:rFonts w:hint="eastAsia" w:ascii="Times New Roman" w:hAnsi="Times New Roman" w:cs="Times New Roman"/>
          <w:b w:val="0"/>
          <w:bCs w:val="0"/>
        </w:rPr>
        <w:t>5. 文献Meta分析：利用同类药物的历史数据校准参数</w:t>
      </w:r>
    </w:p>
    <w:p w14:paraId="462A3116">
      <w:pPr>
        <w:adjustRightInd w:val="0"/>
        <w:spacing w:line="360" w:lineRule="auto"/>
        <w:rPr>
          <w:rFonts w:hint="eastAsia" w:ascii="宋体" w:hAnsi="宋体"/>
          <w:b/>
          <w:bCs/>
          <w:sz w:val="28"/>
          <w:szCs w:val="28"/>
        </w:rPr>
      </w:pPr>
      <w:r>
        <w:rPr>
          <w:rFonts w:ascii="宋体" w:hAnsi="宋体"/>
          <w:b/>
          <w:bCs/>
          <w:sz w:val="28"/>
          <w:szCs w:val="28"/>
        </w:rPr>
        <w:t xml:space="preserve">3.2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MAIC调整后Drug-A vs Drug-B在X</w:t>
      </w:r>
      <w:r>
        <w:rPr>
          <w:rFonts w:ascii="宋体" w:hAnsi="宋体"/>
          <w:b/>
          <w:bCs/>
          <w:sz w:val="28"/>
          <w:szCs w:val="28"/>
        </w:rPr>
        <w:t>阴性</w:t>
      </w:r>
      <w:r>
        <w:rPr>
          <w:rFonts w:hint="eastAsia" w:ascii="宋体" w:hAnsi="宋体" w:cs="微软雅黑"/>
          <w:b/>
          <w:bCs/>
          <w:sz w:val="28"/>
          <w:szCs w:val="28"/>
        </w:rPr>
        <w:t>人</w:t>
      </w:r>
      <w:r>
        <w:rPr>
          <w:rFonts w:hint="eastAsia" w:ascii="宋体" w:hAnsi="宋体" w:cs="宋体"/>
          <w:b/>
          <w:bCs/>
          <w:sz w:val="28"/>
          <w:szCs w:val="28"/>
        </w:rPr>
        <w:t>群的</w:t>
      </w:r>
      <w:r>
        <w:rPr>
          <w:rFonts w:hint="eastAsia" w:ascii="宋体" w:hAnsi="宋体" w:cs="微软雅黑"/>
          <w:b/>
          <w:bCs/>
          <w:sz w:val="28"/>
          <w:szCs w:val="28"/>
        </w:rPr>
        <w:t>比</w:t>
      </w:r>
      <w:r>
        <w:rPr>
          <w:rFonts w:ascii="宋体" w:hAnsi="宋体"/>
          <w:b/>
          <w:bCs/>
          <w:sz w:val="28"/>
          <w:szCs w:val="28"/>
        </w:rPr>
        <w:t>较</w:t>
      </w:r>
    </w:p>
    <w:p w14:paraId="6BDE83DB">
      <w:pPr>
        <w:numPr>
          <w:ilvl w:val="0"/>
          <w:numId w:val="2"/>
        </w:numPr>
        <w:adjustRightInd w:val="0"/>
        <w:spacing w:line="360" w:lineRule="auto"/>
        <w:ind w:left="0" w:leftChars="0" w:firstLine="420" w:firstLineChars="0"/>
        <w:rPr>
          <w:rFonts w:hint="eastAsia" w:ascii="宋体" w:hAnsi="宋体" w:cs="宋体"/>
          <w:b/>
          <w:bCs/>
          <w:szCs w:val="24"/>
        </w:rPr>
      </w:pPr>
      <w:r>
        <w:rPr>
          <w:rFonts w:hint="eastAsia" w:ascii="宋体" w:hAnsi="宋体"/>
          <w:b/>
          <w:bCs/>
          <w:szCs w:val="24"/>
        </w:rPr>
        <w:t>方法</w:t>
      </w:r>
    </w:p>
    <w:p w14:paraId="5284A059">
      <w:pPr>
        <w:adjustRightInd w:val="0"/>
        <w:spacing w:line="360" w:lineRule="auto"/>
        <w:rPr>
          <w:rFonts w:hint="eastAsia" w:ascii="宋体" w:hAnsi="宋体"/>
          <w:szCs w:val="24"/>
        </w:rPr>
      </w:pPr>
      <w:r>
        <w:rPr>
          <w:rFonts w:hint="eastAsia" w:ascii="宋体" w:hAnsi="宋体" w:cs="宋体"/>
          <w:szCs w:val="24"/>
        </w:rPr>
        <w:t>采</w:t>
      </w:r>
      <w:r>
        <w:rPr>
          <w:rFonts w:hint="eastAsia" w:ascii="宋体" w:hAnsi="宋体" w:cs="微软雅黑"/>
          <w:szCs w:val="24"/>
        </w:rPr>
        <w:t>用</w:t>
      </w:r>
      <w:r>
        <w:rPr>
          <w:rFonts w:hint="default" w:ascii="Times New Roman" w:hAnsi="Times New Roman" w:cs="Times New Roman"/>
          <w:szCs w:val="24"/>
        </w:rPr>
        <w:t>MAI</w:t>
      </w:r>
      <w:r>
        <w:rPr>
          <w:rFonts w:hint="eastAsia" w:ascii="Times New Roman" w:hAnsi="Times New Roman" w:cs="Times New Roman"/>
          <w:szCs w:val="24"/>
          <w:lang w:val="en-US" w:eastAsia="zh-CN"/>
        </w:rPr>
        <w:t>C</w:t>
      </w:r>
      <w:r>
        <w:rPr>
          <w:rFonts w:hint="default" w:ascii="Times New Roman" w:hAnsi="Times New Roman" w:cs="Times New Roman"/>
          <w:szCs w:val="24"/>
        </w:rPr>
        <w:t>方</w:t>
      </w:r>
      <w:r>
        <w:rPr>
          <w:rFonts w:hint="eastAsia" w:ascii="宋体" w:hAnsi="宋体" w:cs="宋体"/>
          <w:szCs w:val="24"/>
        </w:rPr>
        <w:t>法调整</w:t>
      </w:r>
      <w:r>
        <w:rPr>
          <w:rFonts w:hint="eastAsia" w:ascii="微软雅黑" w:hAnsi="微软雅黑" w:eastAsia="微软雅黑" w:cs="微软雅黑"/>
          <w:szCs w:val="24"/>
        </w:rPr>
        <w:t>⼈</w:t>
      </w:r>
      <w:r>
        <w:rPr>
          <w:rFonts w:hint="eastAsia" w:ascii="宋体" w:hAnsi="宋体" w:cs="宋体"/>
          <w:szCs w:val="24"/>
        </w:rPr>
        <w:t>群差异。通过最</w:t>
      </w:r>
      <w:r>
        <w:rPr>
          <w:rFonts w:hint="eastAsia" w:ascii="宋体" w:hAnsi="宋体" w:cs="微软雅黑"/>
          <w:szCs w:val="24"/>
        </w:rPr>
        <w:t>小</w:t>
      </w:r>
      <w:r>
        <w:rPr>
          <w:rFonts w:hint="eastAsia" w:ascii="宋体" w:hAnsi="宋体" w:cs="宋体"/>
          <w:szCs w:val="24"/>
        </w:rPr>
        <w:t>化</w:t>
      </w:r>
      <w:r>
        <w:rPr>
          <w:rFonts w:hint="eastAsia" w:ascii="宋体" w:hAnsi="宋体" w:cs="微软雅黑"/>
          <w:szCs w:val="24"/>
        </w:rPr>
        <w:t>目</w:t>
      </w:r>
      <w:r>
        <w:rPr>
          <w:rFonts w:hint="eastAsia" w:ascii="宋体" w:hAnsi="宋体" w:cs="宋体"/>
          <w:szCs w:val="24"/>
        </w:rPr>
        <w:t>标函数</w:t>
      </w:r>
      <w:r>
        <w:rPr>
          <w:rFonts w:ascii="宋体" w:hAnsi="宋体"/>
          <w:szCs w:val="24"/>
        </w:rPr>
        <w:t>：</w:t>
      </w:r>
    </w:p>
    <w:p w14:paraId="11883F9A">
      <w:pPr>
        <w:adjustRightInd w:val="0"/>
        <w:spacing w:line="360" w:lineRule="auto"/>
        <w:jc w:val="center"/>
        <w:rPr>
          <w:rFonts w:hint="eastAsia" w:ascii="宋体" w:hAnsi="宋体"/>
          <w:szCs w:val="24"/>
        </w:rPr>
      </w:pPr>
      <w:r>
        <w:rPr>
          <w:rFonts w:hint="eastAsia" w:ascii="宋体" w:hAnsi="宋体"/>
          <w:position w:val="-32"/>
          <w:szCs w:val="24"/>
        </w:rPr>
        <w:object>
          <v:shape id="_x0000_i1027" o:spt="75" type="#_x0000_t75" style="height:38.15pt;width:119.7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AxMath" ShapeID="_x0000_i1027" DrawAspect="Content" ObjectID="_1468075727" r:id="rId10">
            <o:LockedField>false</o:LockedField>
          </o:OLEObject>
        </w:object>
      </w:r>
    </w:p>
    <w:p w14:paraId="213FAD20">
      <w:pPr>
        <w:adjustRightInd w:val="0"/>
        <w:spacing w:line="360" w:lineRule="auto"/>
        <w:rPr>
          <w:rFonts w:hint="eastAsia" w:ascii="宋体" w:hAnsi="宋体"/>
          <w:szCs w:val="24"/>
        </w:rPr>
      </w:pPr>
      <w:r>
        <w:rPr>
          <w:rFonts w:ascii="宋体" w:hAnsi="宋体"/>
          <w:szCs w:val="24"/>
        </w:rPr>
        <w:t>约束条件：</w:t>
      </w:r>
    </w:p>
    <w:p w14:paraId="1B4C0FFD">
      <w:pPr>
        <w:adjustRightInd w:val="0"/>
        <w:spacing w:line="360" w:lineRule="auto"/>
        <w:jc w:val="center"/>
        <w:rPr>
          <w:rFonts w:hint="eastAsia" w:ascii="宋体" w:hAnsi="宋体"/>
          <w:szCs w:val="24"/>
        </w:rPr>
      </w:pPr>
      <w:r>
        <w:rPr>
          <w:rFonts w:hint="eastAsia" w:ascii="宋体" w:hAnsi="宋体"/>
          <w:position w:val="-32"/>
          <w:szCs w:val="24"/>
        </w:rPr>
        <w:object>
          <v:shape id="_x0000_i1028" o:spt="75" type="#_x0000_t75" style="height:37.95pt;width:112.9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AxMath" ShapeID="_x0000_i1028" DrawAspect="Content" ObjectID="_1468075728" r:id="rId12">
            <o:LockedField>false</o:LockedField>
          </o:OLEObject>
        </w:object>
      </w:r>
    </w:p>
    <w:p w14:paraId="41A0A4D7">
      <w:pPr>
        <w:adjustRightInd w:val="0"/>
        <w:spacing w:line="360" w:lineRule="auto"/>
        <w:rPr>
          <w:rFonts w:hint="default" w:ascii="Times New Roman" w:hAnsi="Times New Roman" w:cs="Times New Roman"/>
          <w:szCs w:val="24"/>
        </w:rPr>
      </w:pPr>
      <w:r>
        <w:rPr>
          <w:rFonts w:ascii="宋体" w:hAnsi="宋体"/>
          <w:szCs w:val="24"/>
        </w:rPr>
        <w:t>选择协变量：年龄、性别</w:t>
      </w:r>
      <w:r>
        <w:rPr>
          <w:rFonts w:hint="default" w:ascii="Times New Roman" w:hAnsi="Times New Roman" w:cs="Times New Roman"/>
          <w:szCs w:val="24"/>
        </w:rPr>
        <w:t>、ECOG体能状态进行调整。</w:t>
      </w:r>
    </w:p>
    <w:p w14:paraId="24AD44B9">
      <w:pPr>
        <w:adjustRightInd w:val="0"/>
        <w:spacing w:line="360" w:lineRule="auto"/>
        <w:rPr>
          <w:rFonts w:hint="eastAsia" w:ascii="宋体" w:hAnsi="宋体"/>
          <w:szCs w:val="24"/>
        </w:rPr>
      </w:pPr>
      <w:r>
        <w:rPr>
          <w:rFonts w:hint="default" w:ascii="Times New Roman" w:hAnsi="Times New Roman" w:cs="Times New Roman"/>
          <w:szCs w:val="24"/>
        </w:rPr>
        <w:t>MAIC权重结果：</w:t>
      </w:r>
      <w:r>
        <w:rPr>
          <w:rFonts w:ascii="宋体" w:hAnsi="宋体"/>
          <w:szCs w:val="24"/>
        </w:rPr>
        <w:t xml:space="preserve"> </w:t>
      </w:r>
    </w:p>
    <w:tbl>
      <w:tblPr>
        <w:tblStyle w:val="1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3"/>
        <w:gridCol w:w="1663"/>
        <w:gridCol w:w="1663"/>
        <w:gridCol w:w="1663"/>
      </w:tblGrid>
      <w:tr w14:paraId="2679C3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663" w:type="dxa"/>
          </w:tcPr>
          <w:p w14:paraId="7CFB2832">
            <w:pPr>
              <w:adjustRightInd w:val="0"/>
              <w:spacing w:line="360" w:lineRule="auto"/>
              <w:rPr>
                <w:rFonts w:hint="eastAsia"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指标</w:t>
            </w:r>
          </w:p>
        </w:tc>
        <w:tc>
          <w:tcPr>
            <w:tcW w:w="1663" w:type="dxa"/>
          </w:tcPr>
          <w:p w14:paraId="4A420218">
            <w:pPr>
              <w:adjustRightInd w:val="0"/>
              <w:spacing w:line="360" w:lineRule="auto"/>
              <w:rPr>
                <w:rFonts w:hint="eastAsia"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调整前</w:t>
            </w:r>
          </w:p>
        </w:tc>
        <w:tc>
          <w:tcPr>
            <w:tcW w:w="1663" w:type="dxa"/>
          </w:tcPr>
          <w:p w14:paraId="61573D57">
            <w:pPr>
              <w:adjustRightInd w:val="0"/>
              <w:spacing w:line="360" w:lineRule="auto"/>
              <w:rPr>
                <w:rFonts w:hint="eastAsia"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调整后</w:t>
            </w:r>
          </w:p>
        </w:tc>
        <w:tc>
          <w:tcPr>
            <w:tcW w:w="1663" w:type="dxa"/>
          </w:tcPr>
          <w:p w14:paraId="6AD91EA6">
            <w:pPr>
              <w:adjustRightInd w:val="0"/>
              <w:spacing w:line="360" w:lineRule="auto"/>
              <w:rPr>
                <w:rFonts w:hint="eastAsia" w:ascii="宋体" w:hAnsi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目标值</w:t>
            </w:r>
          </w:p>
        </w:tc>
      </w:tr>
      <w:tr w14:paraId="1FAF1C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663" w:type="dxa"/>
          </w:tcPr>
          <w:p w14:paraId="2853FFE4">
            <w:pPr>
              <w:adjustRightInd w:val="0"/>
              <w:spacing w:line="360" w:lineRule="auto"/>
              <w:rPr>
                <w:rFonts w:hint="eastAsia"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年龄均值(岁)</w:t>
            </w:r>
          </w:p>
        </w:tc>
        <w:tc>
          <w:tcPr>
            <w:tcW w:w="1663" w:type="dxa"/>
          </w:tcPr>
          <w:p w14:paraId="398C8AF8">
            <w:pPr>
              <w:adjustRightInd w:val="0"/>
              <w:spacing w:line="360" w:lineRule="auto"/>
              <w:rPr>
                <w:rFonts w:hint="eastAsia"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62.3</w:t>
            </w:r>
          </w:p>
        </w:tc>
        <w:tc>
          <w:tcPr>
            <w:tcW w:w="1663" w:type="dxa"/>
          </w:tcPr>
          <w:p w14:paraId="5FBC2E53">
            <w:pPr>
              <w:adjustRightInd w:val="0"/>
              <w:spacing w:line="360" w:lineRule="auto"/>
              <w:rPr>
                <w:rFonts w:hint="eastAsia"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63.85</w:t>
            </w:r>
          </w:p>
        </w:tc>
        <w:tc>
          <w:tcPr>
            <w:tcW w:w="1663" w:type="dxa"/>
          </w:tcPr>
          <w:p w14:paraId="514A0503">
            <w:pPr>
              <w:adjustRightInd w:val="0"/>
              <w:spacing w:line="360" w:lineRule="auto"/>
              <w:rPr>
                <w:rFonts w:hint="eastAsia"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63.85</w:t>
            </w:r>
          </w:p>
        </w:tc>
      </w:tr>
      <w:tr w14:paraId="597572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  <w:jc w:val="center"/>
        </w:trPr>
        <w:tc>
          <w:tcPr>
            <w:tcW w:w="1663" w:type="dxa"/>
          </w:tcPr>
          <w:p w14:paraId="1BDCC7FB">
            <w:pPr>
              <w:adjustRightInd w:val="0"/>
              <w:spacing w:line="360" w:lineRule="auto"/>
              <w:rPr>
                <w:rFonts w:hint="eastAsia"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男性</w:t>
            </w:r>
            <w:r>
              <w:rPr>
                <w:rFonts w:hint="eastAsia" w:ascii="宋体" w:hAnsi="宋体" w:cs="微软雅黑"/>
                <w:szCs w:val="24"/>
              </w:rPr>
              <w:t>比</w:t>
            </w:r>
            <w:r>
              <w:rPr>
                <w:rFonts w:hint="eastAsia" w:ascii="宋体" w:hAnsi="宋体" w:cs="宋体"/>
                <w:szCs w:val="24"/>
              </w:rPr>
              <w:t>例</w:t>
            </w:r>
          </w:p>
        </w:tc>
        <w:tc>
          <w:tcPr>
            <w:tcW w:w="1663" w:type="dxa"/>
          </w:tcPr>
          <w:p w14:paraId="7FF0A925">
            <w:pPr>
              <w:adjustRightInd w:val="0"/>
              <w:spacing w:line="360" w:lineRule="auto"/>
              <w:rPr>
                <w:rFonts w:hint="eastAsia"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0.456</w:t>
            </w:r>
          </w:p>
        </w:tc>
        <w:tc>
          <w:tcPr>
            <w:tcW w:w="1663" w:type="dxa"/>
          </w:tcPr>
          <w:p w14:paraId="4E95DCCA">
            <w:pPr>
              <w:adjustRightInd w:val="0"/>
              <w:spacing w:line="360" w:lineRule="auto"/>
              <w:rPr>
                <w:rFonts w:hint="eastAsia"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0.419</w:t>
            </w:r>
          </w:p>
        </w:tc>
        <w:tc>
          <w:tcPr>
            <w:tcW w:w="1663" w:type="dxa"/>
          </w:tcPr>
          <w:p w14:paraId="6643FE08">
            <w:pPr>
              <w:adjustRightInd w:val="0"/>
              <w:spacing w:line="360" w:lineRule="auto"/>
              <w:rPr>
                <w:rFonts w:hint="eastAsia"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0.419</w:t>
            </w:r>
          </w:p>
        </w:tc>
      </w:tr>
      <w:tr w14:paraId="13EF55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663" w:type="dxa"/>
          </w:tcPr>
          <w:p w14:paraId="09A8A4E0">
            <w:pPr>
              <w:adjustRightInd w:val="0"/>
              <w:spacing w:line="360" w:lineRule="auto"/>
              <w:rPr>
                <w:rFonts w:hint="eastAsia" w:ascii="宋体" w:hAnsi="宋体"/>
                <w:szCs w:val="24"/>
              </w:rPr>
            </w:pPr>
            <w:r>
              <w:rPr>
                <w:rFonts w:hint="default" w:ascii="Times New Roman" w:hAnsi="Times New Roman" w:cs="Times New Roman"/>
                <w:szCs w:val="24"/>
              </w:rPr>
              <w:t>ECOG</w:t>
            </w:r>
            <w:r>
              <w:rPr>
                <w:rFonts w:hint="eastAsia" w:ascii="宋体" w:hAnsi="宋体" w:eastAsia="宋体" w:cs="宋体"/>
                <w:szCs w:val="24"/>
              </w:rPr>
              <w:t>=2</w:t>
            </w:r>
            <w:r>
              <w:rPr>
                <w:rFonts w:hint="eastAsia" w:ascii="宋体" w:hAnsi="宋体"/>
                <w:szCs w:val="24"/>
              </w:rPr>
              <w:t>比</w:t>
            </w:r>
            <w:r>
              <w:rPr>
                <w:rFonts w:ascii="宋体" w:hAnsi="宋体"/>
                <w:szCs w:val="24"/>
              </w:rPr>
              <w:t>例</w:t>
            </w:r>
          </w:p>
        </w:tc>
        <w:tc>
          <w:tcPr>
            <w:tcW w:w="1663" w:type="dxa"/>
          </w:tcPr>
          <w:p w14:paraId="25C9D807">
            <w:pPr>
              <w:adjustRightInd w:val="0"/>
              <w:spacing w:line="360" w:lineRule="auto"/>
              <w:rPr>
                <w:rFonts w:hint="eastAsia"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0.248</w:t>
            </w:r>
          </w:p>
        </w:tc>
        <w:tc>
          <w:tcPr>
            <w:tcW w:w="1663" w:type="dxa"/>
          </w:tcPr>
          <w:p w14:paraId="4B71564A">
            <w:pPr>
              <w:adjustRightInd w:val="0"/>
              <w:spacing w:line="360" w:lineRule="auto"/>
              <w:rPr>
                <w:rFonts w:hint="eastAsia"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0.301</w:t>
            </w:r>
          </w:p>
        </w:tc>
        <w:tc>
          <w:tcPr>
            <w:tcW w:w="1663" w:type="dxa"/>
          </w:tcPr>
          <w:p w14:paraId="5608353D">
            <w:pPr>
              <w:adjustRightInd w:val="0"/>
              <w:spacing w:line="360" w:lineRule="auto"/>
              <w:rPr>
                <w:rFonts w:hint="eastAsia"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0.301</w:t>
            </w:r>
          </w:p>
        </w:tc>
      </w:tr>
    </w:tbl>
    <w:p w14:paraId="641C4F22">
      <w:pPr>
        <w:adjustRightInd w:val="0"/>
        <w:spacing w:line="360" w:lineRule="auto"/>
        <w:rPr>
          <w:rFonts w:ascii="宋体" w:hAnsi="宋体"/>
          <w:b/>
          <w:bCs/>
          <w:szCs w:val="24"/>
        </w:rPr>
      </w:pPr>
      <w:r>
        <w:rPr>
          <w:rFonts w:ascii="宋体" w:hAnsi="宋体"/>
          <w:b/>
          <w:bCs/>
          <w:szCs w:val="24"/>
        </w:rPr>
        <w:t>有效样本量：149.0</w:t>
      </w:r>
    </w:p>
    <w:p w14:paraId="66DBF777">
      <w:pPr>
        <w:adjustRightInd w:val="0"/>
        <w:spacing w:line="360" w:lineRule="auto"/>
        <w:rPr>
          <w:rFonts w:hint="eastAsia" w:ascii="宋体" w:hAnsi="宋体"/>
          <w:b/>
          <w:bCs/>
          <w:szCs w:val="24"/>
        </w:rPr>
      </w:pPr>
    </w:p>
    <w:p w14:paraId="711FE338">
      <w:pPr>
        <w:adjustRightInd w:val="0"/>
        <w:spacing w:line="360" w:lineRule="auto"/>
        <w:rPr>
          <w:rFonts w:hint="eastAsia" w:ascii="宋体" w:hAnsi="宋体" w:cs="宋体"/>
          <w:szCs w:val="24"/>
        </w:rPr>
      </w:pPr>
      <w:r>
        <w:rPr>
          <w:rFonts w:ascii="宋体" w:hAnsi="宋体"/>
          <w:szCs w:val="24"/>
        </w:rPr>
        <w:t>间接</w:t>
      </w:r>
      <w:r>
        <w:rPr>
          <w:rFonts w:hint="eastAsia" w:ascii="微软雅黑" w:hAnsi="微软雅黑" w:eastAsia="微软雅黑" w:cs="微软雅黑"/>
          <w:szCs w:val="24"/>
        </w:rPr>
        <w:t>⽐</w:t>
      </w:r>
      <w:r>
        <w:rPr>
          <w:rFonts w:hint="eastAsia" w:ascii="宋体" w:hAnsi="宋体" w:cs="宋体"/>
          <w:szCs w:val="24"/>
        </w:rPr>
        <w:t>较结果：</w:t>
      </w:r>
    </w:p>
    <w:p w14:paraId="513748A4">
      <w:pPr>
        <w:adjustRightInd w:val="0"/>
        <w:spacing w:line="360" w:lineRule="auto"/>
        <w:jc w:val="center"/>
        <w:rPr>
          <w:rFonts w:hint="eastAsia" w:ascii="宋体" w:hAnsi="宋体"/>
          <w:szCs w:val="24"/>
        </w:rPr>
      </w:pPr>
      <w:r>
        <w:rPr>
          <w:rFonts w:hint="eastAsia" w:ascii="宋体" w:hAnsi="宋体" w:cs="宋体"/>
          <w:position w:val="-27"/>
          <w:szCs w:val="24"/>
        </w:rPr>
        <w:object>
          <v:shape id="_x0000_i1029" o:spt="75" type="#_x0000_t75" style="height:38.4pt;width:121.6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AxMath" ShapeID="_x0000_i1029" DrawAspect="Content" ObjectID="_1468075729" r:id="rId14">
            <o:LockedField>false</o:LockedField>
          </o:OLEObject>
        </w:objec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1885"/>
        <w:gridCol w:w="2074"/>
        <w:gridCol w:w="2074"/>
      </w:tblGrid>
      <w:tr w14:paraId="2C211A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 w14:paraId="6458AEB3">
            <w:pPr>
              <w:adjustRightInd w:val="0"/>
              <w:spacing w:line="360" w:lineRule="auto"/>
              <w:rPr>
                <w:rFonts w:hint="eastAsia"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比较</w:t>
            </w:r>
          </w:p>
        </w:tc>
        <w:tc>
          <w:tcPr>
            <w:tcW w:w="1885" w:type="dxa"/>
          </w:tcPr>
          <w:p w14:paraId="3932E916">
            <w:pPr>
              <w:adjustRightInd w:val="0"/>
              <w:spacing w:line="360" w:lineRule="auto"/>
              <w:rPr>
                <w:rFonts w:hint="eastAsia" w:ascii="宋体" w:hAnsi="宋体"/>
                <w:szCs w:val="24"/>
              </w:rPr>
            </w:pPr>
            <w:r>
              <w:rPr>
                <w:rFonts w:hint="default" w:ascii="Times New Roman" w:hAnsi="Times New Roman" w:cs="Times New Roman"/>
                <w:szCs w:val="24"/>
              </w:rPr>
              <w:t>HR</w:t>
            </w:r>
          </w:p>
        </w:tc>
        <w:tc>
          <w:tcPr>
            <w:tcW w:w="2074" w:type="dxa"/>
          </w:tcPr>
          <w:p w14:paraId="7124C595">
            <w:pPr>
              <w:adjustRightInd w:val="0"/>
              <w:spacing w:line="360" w:lineRule="auto"/>
              <w:rPr>
                <w:rFonts w:hint="eastAsia"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95%</w:t>
            </w:r>
            <w:r>
              <w:rPr>
                <w:rFonts w:hint="default" w:ascii="Times New Roman" w:hAnsi="Times New Roman" w:cs="Times New Roman"/>
                <w:szCs w:val="24"/>
              </w:rPr>
              <w:t xml:space="preserve"> CI</w:t>
            </w:r>
          </w:p>
        </w:tc>
        <w:tc>
          <w:tcPr>
            <w:tcW w:w="2074" w:type="dxa"/>
          </w:tcPr>
          <w:p w14:paraId="2ABCE81B">
            <w:pPr>
              <w:adjustRightInd w:val="0"/>
              <w:spacing w:line="360" w:lineRule="auto"/>
              <w:rPr>
                <w:rFonts w:hint="eastAsia" w:ascii="宋体" w:hAnsi="宋体"/>
                <w:szCs w:val="24"/>
              </w:rPr>
            </w:pPr>
            <w:r>
              <w:rPr>
                <w:rFonts w:hint="default" w:ascii="Times New Roman" w:hAnsi="Times New Roman" w:cs="Times New Roman"/>
                <w:szCs w:val="24"/>
              </w:rPr>
              <w:t>P</w:t>
            </w:r>
            <w:r>
              <w:rPr>
                <w:rFonts w:hint="eastAsia" w:ascii="宋体" w:hAnsi="宋体"/>
                <w:szCs w:val="24"/>
              </w:rPr>
              <w:t>值</w:t>
            </w:r>
          </w:p>
        </w:tc>
      </w:tr>
      <w:tr w14:paraId="7DC343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 w14:paraId="0D0CAB92">
            <w:pPr>
              <w:adjustRightInd w:val="0"/>
              <w:spacing w:line="360" w:lineRule="auto"/>
              <w:rPr>
                <w:rFonts w:hint="eastAsia" w:ascii="宋体" w:hAnsi="宋体"/>
                <w:szCs w:val="24"/>
              </w:rPr>
            </w:pPr>
            <w:r>
              <w:rPr>
                <w:rFonts w:hint="default" w:ascii="Times New Roman" w:hAnsi="Times New Roman" w:cs="Times New Roman"/>
                <w:szCs w:val="24"/>
              </w:rPr>
              <w:t>Drug-A vs Drug-B</w:t>
            </w:r>
          </w:p>
        </w:tc>
        <w:tc>
          <w:tcPr>
            <w:tcW w:w="1885" w:type="dxa"/>
          </w:tcPr>
          <w:p w14:paraId="3A1EB5C3">
            <w:pPr>
              <w:adjustRightInd w:val="0"/>
              <w:spacing w:line="360" w:lineRule="auto"/>
              <w:rPr>
                <w:rFonts w:hint="eastAsia"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0.545</w:t>
            </w:r>
          </w:p>
        </w:tc>
        <w:tc>
          <w:tcPr>
            <w:tcW w:w="2074" w:type="dxa"/>
          </w:tcPr>
          <w:p w14:paraId="472FDCBF">
            <w:pPr>
              <w:adjustRightInd w:val="0"/>
              <w:spacing w:line="360" w:lineRule="auto"/>
              <w:rPr>
                <w:rFonts w:hint="eastAsia"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(0.314, 0.945)</w:t>
            </w:r>
          </w:p>
        </w:tc>
        <w:tc>
          <w:tcPr>
            <w:tcW w:w="2074" w:type="dxa"/>
          </w:tcPr>
          <w:p w14:paraId="12345C3D">
            <w:pPr>
              <w:adjustRightInd w:val="0"/>
              <w:spacing w:line="360" w:lineRule="auto"/>
              <w:rPr>
                <w:rFonts w:hint="eastAsia"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0.301</w:t>
            </w:r>
          </w:p>
        </w:tc>
      </w:tr>
    </w:tbl>
    <w:p w14:paraId="541B0CC0">
      <w:pPr>
        <w:adjustRightInd w:val="0"/>
        <w:spacing w:line="360" w:lineRule="auto"/>
        <w:rPr>
          <w:rFonts w:hint="eastAsia" w:ascii="宋体" w:hAnsi="宋体"/>
          <w:szCs w:val="24"/>
        </w:rPr>
      </w:pPr>
    </w:p>
    <w:p w14:paraId="1704403A">
      <w:pPr>
        <w:adjustRightInd w:val="0"/>
        <w:spacing w:line="360" w:lineRule="auto"/>
        <w:jc w:val="center"/>
        <w:rPr>
          <w:rFonts w:hint="eastAsia" w:ascii="宋体" w:hAnsi="宋体"/>
          <w:szCs w:val="24"/>
        </w:rPr>
      </w:pPr>
      <w:r>
        <w:rPr>
          <w:rFonts w:hint="eastAsia" w:ascii="宋体" w:hAnsi="宋体"/>
          <w:szCs w:val="24"/>
        </w:rPr>
        <w:drawing>
          <wp:inline distT="0" distB="0" distL="0" distR="0">
            <wp:extent cx="5006340" cy="2961005"/>
            <wp:effectExtent l="0" t="0" r="7620" b="10795"/>
            <wp:docPr id="555209238" name="图形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209238" name="图形 2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4BDAD">
      <w:pPr>
        <w:numPr>
          <w:ilvl w:val="0"/>
          <w:numId w:val="2"/>
        </w:numPr>
        <w:adjustRightInd w:val="0"/>
        <w:spacing w:line="360" w:lineRule="auto"/>
        <w:ind w:left="0" w:leftChars="0" w:firstLine="420" w:firstLineChars="0"/>
        <w:rPr>
          <w:rFonts w:ascii="宋体" w:hAnsi="宋体"/>
          <w:b/>
          <w:bCs/>
          <w:szCs w:val="24"/>
        </w:rPr>
      </w:pPr>
      <w:r>
        <w:rPr>
          <w:rFonts w:hint="eastAsia" w:ascii="宋体" w:hAnsi="宋体"/>
          <w:b/>
          <w:bCs/>
          <w:szCs w:val="24"/>
          <w:lang w:val="en-US" w:eastAsia="zh-CN"/>
        </w:rPr>
        <w:t>结论</w:t>
      </w:r>
    </w:p>
    <w:p w14:paraId="37DCDF4A">
      <w:pPr>
        <w:adjustRightInd w:val="0"/>
        <w:spacing w:line="360" w:lineRule="auto"/>
        <w:rPr>
          <w:rFonts w:hint="default" w:ascii="Times New Roman" w:hAnsi="Times New Roman" w:cs="Times New Roman"/>
          <w:b w:val="0"/>
          <w:bCs w:val="0"/>
          <w:szCs w:val="24"/>
        </w:rPr>
      </w:pPr>
      <w:r>
        <w:rPr>
          <w:rFonts w:ascii="宋体" w:hAnsi="宋体"/>
          <w:b w:val="0"/>
          <w:bCs w:val="0"/>
          <w:szCs w:val="24"/>
        </w:rPr>
        <w:t>经</w:t>
      </w:r>
      <w:r>
        <w:rPr>
          <w:rFonts w:hint="default" w:ascii="Times New Roman" w:hAnsi="Times New Roman" w:cs="Times New Roman"/>
          <w:b w:val="0"/>
          <w:bCs w:val="0"/>
          <w:szCs w:val="24"/>
        </w:rPr>
        <w:t>MAIC调整后，Drug-A相比Drug-B在X阴性人群中降低45.5%死亡风险，差异有统计学意义。</w:t>
      </w:r>
    </w:p>
    <w:p w14:paraId="1C77BAB7">
      <w:pPr>
        <w:adjustRightInd w:val="0"/>
        <w:spacing w:line="360" w:lineRule="auto"/>
        <w:rPr>
          <w:rFonts w:hint="eastAsia" w:ascii="Times New Roman" w:hAnsi="Times New Roman" w:cs="Times New Roman"/>
          <w:b/>
          <w:bCs/>
          <w:szCs w:val="24"/>
        </w:rPr>
      </w:pPr>
      <w:r>
        <w:rPr>
          <w:rFonts w:hint="eastAsia" w:ascii="Times New Roman" w:hAnsi="Times New Roman" w:cs="Times New Roman"/>
          <w:b/>
          <w:bCs/>
          <w:szCs w:val="24"/>
        </w:rPr>
        <w:t>已调整的混杂因素:</w:t>
      </w:r>
    </w:p>
    <w:p w14:paraId="41551D17">
      <w:pPr>
        <w:adjustRightInd w:val="0"/>
        <w:spacing w:line="360" w:lineRule="auto"/>
        <w:rPr>
          <w:rFonts w:hint="eastAsia" w:ascii="Times New Roman" w:hAnsi="Times New Roman" w:cs="Times New Roman"/>
          <w:b w:val="0"/>
          <w:bCs w:val="0"/>
          <w:szCs w:val="24"/>
        </w:rPr>
      </w:pPr>
      <w:r>
        <w:rPr>
          <w:rFonts w:hint="eastAsia" w:ascii="Times New Roman" w:hAnsi="Times New Roman" w:cs="Times New Roman"/>
          <w:b w:val="0"/>
          <w:bCs w:val="0"/>
          <w:szCs w:val="24"/>
        </w:rPr>
        <w:t>1. 年龄分布差异</w:t>
      </w:r>
    </w:p>
    <w:p w14:paraId="2E7180C6">
      <w:pPr>
        <w:adjustRightInd w:val="0"/>
        <w:spacing w:line="360" w:lineRule="auto"/>
        <w:rPr>
          <w:rFonts w:hint="eastAsia" w:ascii="Times New Roman" w:hAnsi="Times New Roman" w:cs="Times New Roman"/>
          <w:b w:val="0"/>
          <w:bCs w:val="0"/>
          <w:szCs w:val="24"/>
        </w:rPr>
      </w:pPr>
      <w:r>
        <w:rPr>
          <w:rFonts w:hint="eastAsia" w:ascii="Times New Roman" w:hAnsi="Times New Roman" w:cs="Times New Roman"/>
          <w:b w:val="0"/>
          <w:bCs w:val="0"/>
          <w:szCs w:val="24"/>
        </w:rPr>
        <w:t>2. 性别比例差异</w:t>
      </w:r>
    </w:p>
    <w:p w14:paraId="71C69496">
      <w:pPr>
        <w:adjustRightInd w:val="0"/>
        <w:spacing w:line="360" w:lineRule="auto"/>
        <w:rPr>
          <w:rFonts w:hint="eastAsia" w:ascii="Times New Roman" w:hAnsi="Times New Roman" w:cs="Times New Roman"/>
          <w:b w:val="0"/>
          <w:bCs w:val="0"/>
          <w:szCs w:val="24"/>
        </w:rPr>
      </w:pPr>
      <w:r>
        <w:rPr>
          <w:rFonts w:hint="eastAsia" w:ascii="Times New Roman" w:hAnsi="Times New Roman" w:cs="Times New Roman"/>
          <w:b w:val="0"/>
          <w:bCs w:val="0"/>
          <w:szCs w:val="24"/>
        </w:rPr>
        <w:t>3. ECOG体能状态分布差异</w:t>
      </w:r>
    </w:p>
    <w:p w14:paraId="7A5BEF8B">
      <w:pPr>
        <w:adjustRightInd w:val="0"/>
        <w:spacing w:line="360" w:lineRule="auto"/>
        <w:rPr>
          <w:rFonts w:hint="eastAsia" w:ascii="Times New Roman" w:hAnsi="Times New Roman" w:cs="Times New Roman"/>
          <w:b/>
          <w:bCs/>
          <w:szCs w:val="24"/>
        </w:rPr>
      </w:pPr>
      <w:r>
        <w:rPr>
          <w:rFonts w:hint="eastAsia" w:ascii="Times New Roman" w:hAnsi="Times New Roman" w:cs="Times New Roman"/>
          <w:b/>
          <w:bCs/>
          <w:szCs w:val="24"/>
        </w:rPr>
        <w:t>仍可能存在的偏移:</w:t>
      </w:r>
    </w:p>
    <w:p w14:paraId="2F3E16D1">
      <w:pPr>
        <w:adjustRightInd w:val="0"/>
        <w:spacing w:line="360" w:lineRule="auto"/>
        <w:rPr>
          <w:rFonts w:hint="eastAsia" w:ascii="Times New Roman" w:hAnsi="Times New Roman" w:cs="Times New Roman"/>
          <w:b w:val="0"/>
          <w:bCs w:val="0"/>
          <w:szCs w:val="24"/>
        </w:rPr>
      </w:pPr>
      <w:r>
        <w:rPr>
          <w:rFonts w:hint="eastAsia" w:ascii="Times New Roman" w:hAnsi="Times New Roman" w:cs="Times New Roman"/>
          <w:b w:val="0"/>
          <w:bCs w:val="0"/>
          <w:szCs w:val="24"/>
        </w:rPr>
        <w:t>1. 未测量的混杂因素：如合并症、既往治疗史、社会经济状态等</w:t>
      </w:r>
    </w:p>
    <w:p w14:paraId="613D7DA4">
      <w:pPr>
        <w:adjustRightInd w:val="0"/>
        <w:spacing w:line="360" w:lineRule="auto"/>
        <w:rPr>
          <w:rFonts w:hint="eastAsia" w:ascii="Times New Roman" w:hAnsi="Times New Roman" w:cs="Times New Roman"/>
          <w:b w:val="0"/>
          <w:bCs w:val="0"/>
          <w:szCs w:val="24"/>
        </w:rPr>
      </w:pPr>
      <w:r>
        <w:rPr>
          <w:rFonts w:hint="eastAsia" w:ascii="Times New Roman" w:hAnsi="Times New Roman" w:cs="Times New Roman"/>
          <w:b w:val="0"/>
          <w:bCs w:val="0"/>
          <w:szCs w:val="24"/>
        </w:rPr>
        <w:t>2. 效应修饰因子：不同研究中心的治疗标准可能不同</w:t>
      </w:r>
    </w:p>
    <w:p w14:paraId="13973BFE">
      <w:pPr>
        <w:adjustRightInd w:val="0"/>
        <w:spacing w:line="360" w:lineRule="auto"/>
        <w:rPr>
          <w:rFonts w:hint="eastAsia" w:ascii="Times New Roman" w:hAnsi="Times New Roman" w:cs="Times New Roman"/>
          <w:b w:val="0"/>
          <w:bCs w:val="0"/>
          <w:szCs w:val="24"/>
        </w:rPr>
      </w:pPr>
      <w:r>
        <w:rPr>
          <w:rFonts w:hint="eastAsia" w:ascii="Times New Roman" w:hAnsi="Times New Roman" w:cs="Times New Roman"/>
          <w:b w:val="0"/>
          <w:bCs w:val="0"/>
          <w:szCs w:val="24"/>
        </w:rPr>
        <w:t>3. 时间趋势偏移：两个试验开展时间不同，标准治疗可能有所改进</w:t>
      </w:r>
    </w:p>
    <w:p w14:paraId="09EA6584">
      <w:pPr>
        <w:adjustRightInd w:val="0"/>
        <w:spacing w:line="360" w:lineRule="auto"/>
        <w:rPr>
          <w:rFonts w:hint="eastAsia" w:ascii="Times New Roman" w:hAnsi="Times New Roman" w:cs="Times New Roman"/>
          <w:b w:val="0"/>
          <w:bCs w:val="0"/>
          <w:szCs w:val="24"/>
        </w:rPr>
      </w:pPr>
      <w:r>
        <w:rPr>
          <w:rFonts w:hint="eastAsia" w:ascii="Times New Roman" w:hAnsi="Times New Roman" w:cs="Times New Roman"/>
          <w:b w:val="0"/>
          <w:bCs w:val="0"/>
          <w:szCs w:val="24"/>
        </w:rPr>
        <w:t>4. 人群选择偏移：入组标准的细微差异可能导致人群特征差异</w:t>
      </w:r>
    </w:p>
    <w:p w14:paraId="65EAFB3F">
      <w:pPr>
        <w:adjustRightInd w:val="0"/>
        <w:spacing w:line="360" w:lineRule="auto"/>
        <w:rPr>
          <w:rFonts w:hint="eastAsia" w:ascii="Times New Roman" w:hAnsi="Times New Roman" w:cs="Times New Roman"/>
          <w:b w:val="0"/>
          <w:bCs w:val="0"/>
          <w:szCs w:val="24"/>
        </w:rPr>
      </w:pPr>
      <w:r>
        <w:rPr>
          <w:rFonts w:hint="eastAsia" w:ascii="Times New Roman" w:hAnsi="Times New Roman" w:cs="Times New Roman"/>
          <w:b w:val="0"/>
          <w:bCs w:val="0"/>
          <w:szCs w:val="24"/>
        </w:rPr>
        <w:t>5. 测量偏移：不同试验中终点事件判定标准可能不一致</w:t>
      </w:r>
    </w:p>
    <w:p w14:paraId="02CA25EC">
      <w:pPr>
        <w:adjustRightInd w:val="0"/>
        <w:spacing w:line="360" w:lineRule="auto"/>
        <w:rPr>
          <w:rFonts w:hint="eastAsia" w:ascii="Times New Roman" w:hAnsi="Times New Roman" w:cs="Times New Roman"/>
          <w:b w:val="0"/>
          <w:bCs w:val="0"/>
          <w:szCs w:val="24"/>
        </w:rPr>
      </w:pPr>
      <w:r>
        <w:rPr>
          <w:rFonts w:hint="eastAsia" w:ascii="Times New Roman" w:hAnsi="Times New Roman" w:cs="Times New Roman"/>
          <w:b w:val="0"/>
          <w:bCs w:val="0"/>
          <w:szCs w:val="24"/>
        </w:rPr>
        <w:t>6. 随访偏移：随访时间和删失模式的差异</w:t>
      </w:r>
    </w:p>
    <w:p w14:paraId="721766F9">
      <w:pPr>
        <w:adjustRightInd w:val="0"/>
        <w:spacing w:line="360" w:lineRule="auto"/>
        <w:rPr>
          <w:rFonts w:hint="eastAsia" w:ascii="Times New Roman" w:hAnsi="Times New Roman" w:cs="Times New Roman"/>
          <w:b/>
          <w:bCs/>
          <w:szCs w:val="24"/>
        </w:rPr>
      </w:pPr>
      <w:r>
        <w:rPr>
          <w:rFonts w:hint="eastAsia" w:ascii="Times New Roman" w:hAnsi="Times New Roman" w:cs="Times New Roman"/>
          <w:b/>
          <w:bCs/>
          <w:szCs w:val="24"/>
        </w:rPr>
        <w:t>偏移的潜在影响:</w:t>
      </w:r>
    </w:p>
    <w:p w14:paraId="4AB38274">
      <w:pPr>
        <w:adjustRightInd w:val="0"/>
        <w:spacing w:line="360" w:lineRule="auto"/>
        <w:rPr>
          <w:rFonts w:hint="eastAsia" w:ascii="Times New Roman" w:hAnsi="Times New Roman" w:cs="Times New Roman"/>
          <w:b w:val="0"/>
          <w:bCs w:val="0"/>
          <w:szCs w:val="24"/>
        </w:rPr>
      </w:pPr>
      <w:r>
        <w:rPr>
          <w:rFonts w:hint="eastAsia" w:ascii="Times New Roman" w:hAnsi="Times New Roman" w:cs="Times New Roman"/>
          <w:b w:val="0"/>
          <w:bCs w:val="0"/>
          <w:szCs w:val="24"/>
        </w:rPr>
        <w:t>1. 如果未调整的混杂因素与预后相关，可能高估或低估治疗效应</w:t>
      </w:r>
    </w:p>
    <w:p w14:paraId="432520FF">
      <w:pPr>
        <w:adjustRightInd w:val="0"/>
        <w:spacing w:line="360" w:lineRule="auto"/>
        <w:rPr>
          <w:rFonts w:hint="eastAsia" w:ascii="Times New Roman" w:hAnsi="Times New Roman" w:cs="Times New Roman"/>
          <w:b w:val="0"/>
          <w:bCs w:val="0"/>
          <w:szCs w:val="24"/>
        </w:rPr>
      </w:pPr>
      <w:r>
        <w:rPr>
          <w:rFonts w:hint="eastAsia" w:ascii="Times New Roman" w:hAnsi="Times New Roman" w:cs="Times New Roman"/>
          <w:b w:val="0"/>
          <w:bCs w:val="0"/>
          <w:szCs w:val="24"/>
        </w:rPr>
        <w:t>2. 效应修饰因子可能导致治疗效应在不同亚群中的异质性</w:t>
      </w:r>
    </w:p>
    <w:p w14:paraId="471F56B2">
      <w:pPr>
        <w:adjustRightInd w:val="0"/>
        <w:spacing w:line="360" w:lineRule="auto"/>
        <w:rPr>
          <w:rFonts w:hint="eastAsia" w:ascii="Times New Roman" w:hAnsi="Times New Roman" w:cs="Times New Roman"/>
          <w:b w:val="0"/>
          <w:bCs w:val="0"/>
          <w:szCs w:val="24"/>
        </w:rPr>
      </w:pPr>
      <w:r>
        <w:rPr>
          <w:rFonts w:hint="eastAsia" w:ascii="Times New Roman" w:hAnsi="Times New Roman" w:cs="Times New Roman"/>
          <w:b w:val="0"/>
          <w:bCs w:val="0"/>
          <w:szCs w:val="24"/>
        </w:rPr>
        <w:t>3. 时间趋势可能使对照组的预后改善，影响相对治疗效应</w:t>
      </w:r>
    </w:p>
    <w:p w14:paraId="13350B02">
      <w:pPr>
        <w:adjustRightInd w:val="0"/>
        <w:spacing w:line="360" w:lineRule="auto"/>
        <w:rPr>
          <w:rFonts w:hint="eastAsia" w:ascii="Times New Roman" w:hAnsi="Times New Roman" w:cs="Times New Roman"/>
          <w:b w:val="0"/>
          <w:bCs w:val="0"/>
          <w:szCs w:val="24"/>
        </w:rPr>
      </w:pPr>
      <w:r>
        <w:rPr>
          <w:rFonts w:hint="eastAsia" w:ascii="Times New Roman" w:hAnsi="Times New Roman" w:cs="Times New Roman"/>
          <w:b w:val="0"/>
          <w:bCs w:val="0"/>
          <w:szCs w:val="24"/>
        </w:rPr>
        <w:t>4. 测量偏移可能导致事件发生率的系统性差异</w:t>
      </w:r>
    </w:p>
    <w:p w14:paraId="0CA1C7C8">
      <w:pPr>
        <w:adjustRightInd w:val="0"/>
        <w:spacing w:line="360" w:lineRule="auto"/>
        <w:rPr>
          <w:rFonts w:hint="eastAsia" w:ascii="Times New Roman" w:hAnsi="Times New Roman" w:cs="Times New Roman"/>
          <w:b/>
          <w:bCs/>
          <w:szCs w:val="24"/>
        </w:rPr>
      </w:pPr>
      <w:r>
        <w:rPr>
          <w:rFonts w:hint="eastAsia" w:ascii="Times New Roman" w:hAnsi="Times New Roman" w:cs="Times New Roman"/>
          <w:b/>
          <w:bCs/>
          <w:szCs w:val="24"/>
        </w:rPr>
        <w:t>减少偏移的策略:</w:t>
      </w:r>
    </w:p>
    <w:p w14:paraId="44E7168B">
      <w:pPr>
        <w:adjustRightInd w:val="0"/>
        <w:spacing w:line="360" w:lineRule="auto"/>
        <w:rPr>
          <w:rFonts w:hint="eastAsia" w:ascii="Times New Roman" w:hAnsi="Times New Roman" w:cs="Times New Roman"/>
          <w:b w:val="0"/>
          <w:bCs w:val="0"/>
          <w:szCs w:val="24"/>
        </w:rPr>
      </w:pPr>
      <w:r>
        <w:rPr>
          <w:rFonts w:hint="eastAsia" w:ascii="Times New Roman" w:hAnsi="Times New Roman" w:cs="Times New Roman"/>
          <w:b w:val="0"/>
          <w:bCs w:val="0"/>
          <w:szCs w:val="24"/>
        </w:rPr>
        <w:t>1. 敏感性分析：改变关键假设进行多种情景分析</w:t>
      </w:r>
    </w:p>
    <w:p w14:paraId="4710BF21">
      <w:pPr>
        <w:adjustRightInd w:val="0"/>
        <w:spacing w:line="360" w:lineRule="auto"/>
        <w:rPr>
          <w:rFonts w:hint="eastAsia" w:ascii="Times New Roman" w:hAnsi="Times New Roman" w:cs="Times New Roman"/>
          <w:b w:val="0"/>
          <w:bCs w:val="0"/>
          <w:szCs w:val="24"/>
        </w:rPr>
      </w:pPr>
      <w:r>
        <w:rPr>
          <w:rFonts w:hint="eastAsia" w:ascii="Times New Roman" w:hAnsi="Times New Roman" w:cs="Times New Roman"/>
          <w:b w:val="0"/>
          <w:bCs w:val="0"/>
          <w:szCs w:val="24"/>
        </w:rPr>
        <w:t xml:space="preserve">2. </w:t>
      </w:r>
      <w:r>
        <w:rPr>
          <w:rFonts w:hint="eastAsia" w:ascii="Times New Roman" w:hAnsi="Times New Roman" w:cs="Times New Roman"/>
          <w:b w:val="0"/>
          <w:bCs w:val="0"/>
          <w:szCs w:val="24"/>
          <w:lang w:val="en-US" w:eastAsia="zh-CN"/>
        </w:rPr>
        <w:t>通过</w:t>
      </w:r>
      <w:r>
        <w:rPr>
          <w:rFonts w:hint="eastAsia" w:ascii="Times New Roman" w:hAnsi="Times New Roman" w:cs="Times New Roman"/>
          <w:b w:val="0"/>
          <w:bCs w:val="0"/>
          <w:szCs w:val="24"/>
        </w:rPr>
        <w:t>专家咨询：结合临床专家意见评估未测量混杂因素的影响</w:t>
      </w:r>
    </w:p>
    <w:p w14:paraId="2D11F3D0">
      <w:pPr>
        <w:adjustRightInd w:val="0"/>
        <w:spacing w:line="360" w:lineRule="auto"/>
        <w:rPr>
          <w:rFonts w:hint="eastAsia" w:ascii="Times New Roman" w:hAnsi="Times New Roman" w:cs="Times New Roman"/>
          <w:b w:val="0"/>
          <w:bCs w:val="0"/>
          <w:szCs w:val="24"/>
        </w:rPr>
      </w:pPr>
      <w:r>
        <w:rPr>
          <w:rFonts w:hint="eastAsia" w:ascii="Times New Roman" w:hAnsi="Times New Roman" w:cs="Times New Roman"/>
          <w:b w:val="0"/>
          <w:bCs w:val="0"/>
          <w:szCs w:val="24"/>
        </w:rPr>
        <w:t>3. 文献系统评价：利用同类药物的Meta分析结果进行校准</w:t>
      </w:r>
    </w:p>
    <w:p w14:paraId="72E01C4C">
      <w:pPr>
        <w:adjustRightInd w:val="0"/>
        <w:spacing w:line="360" w:lineRule="auto"/>
        <w:rPr>
          <w:rFonts w:hint="eastAsia" w:ascii="Times New Roman" w:hAnsi="Times New Roman" w:cs="Times New Roman"/>
          <w:b w:val="0"/>
          <w:bCs w:val="0"/>
          <w:szCs w:val="24"/>
        </w:rPr>
      </w:pPr>
      <w:r>
        <w:rPr>
          <w:rFonts w:hint="eastAsia" w:ascii="Times New Roman" w:hAnsi="Times New Roman" w:cs="Times New Roman"/>
          <w:b w:val="0"/>
          <w:bCs w:val="0"/>
          <w:szCs w:val="24"/>
        </w:rPr>
        <w:t>4. 贝叶斯方法：纳入先验信息减少不确定性</w:t>
      </w:r>
    </w:p>
    <w:p w14:paraId="27FE600B">
      <w:pPr>
        <w:adjustRightInd w:val="0"/>
        <w:spacing w:line="360" w:lineRule="auto"/>
        <w:rPr>
          <w:rFonts w:hint="eastAsia" w:ascii="Times New Roman" w:hAnsi="Times New Roman" w:cs="Times New Roman"/>
          <w:b w:val="0"/>
          <w:bCs w:val="0"/>
          <w:szCs w:val="24"/>
        </w:rPr>
      </w:pPr>
      <w:r>
        <w:rPr>
          <w:rFonts w:hint="eastAsia" w:ascii="Times New Roman" w:hAnsi="Times New Roman" w:cs="Times New Roman"/>
          <w:b w:val="0"/>
          <w:bCs w:val="0"/>
          <w:szCs w:val="24"/>
        </w:rPr>
        <w:t>5. 多种间接比较方法：如网络Meta分析、模拟治疗比较等</w:t>
      </w:r>
    </w:p>
    <w:p w14:paraId="31720139">
      <w:pPr>
        <w:adjustRightInd w:val="0"/>
        <w:spacing w:line="360" w:lineRule="auto"/>
        <w:rPr>
          <w:rFonts w:hint="eastAsia"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 xml:space="preserve">3.3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Drug-A vs Drug-C在X阳</w:t>
      </w:r>
      <w:r>
        <w:rPr>
          <w:rFonts w:ascii="宋体" w:hAnsi="宋体"/>
          <w:b/>
          <w:bCs/>
          <w:sz w:val="28"/>
          <w:szCs w:val="28"/>
        </w:rPr>
        <w:t>性</w:t>
      </w:r>
      <w:r>
        <w:rPr>
          <w:rFonts w:hint="eastAsia" w:ascii="宋体" w:hAnsi="宋体" w:cs="微软雅黑"/>
          <w:b/>
          <w:bCs/>
          <w:sz w:val="28"/>
          <w:szCs w:val="28"/>
        </w:rPr>
        <w:t>人</w:t>
      </w:r>
      <w:r>
        <w:rPr>
          <w:rFonts w:hint="eastAsia" w:ascii="宋体" w:hAnsi="宋体" w:cs="宋体"/>
          <w:b/>
          <w:bCs/>
          <w:sz w:val="28"/>
          <w:szCs w:val="28"/>
        </w:rPr>
        <w:t>群的</w:t>
      </w:r>
      <w:r>
        <w:rPr>
          <w:rFonts w:hint="eastAsia" w:ascii="宋体" w:hAnsi="宋体" w:cs="微软雅黑"/>
          <w:b/>
          <w:bCs/>
          <w:sz w:val="28"/>
          <w:szCs w:val="28"/>
        </w:rPr>
        <w:t>比</w:t>
      </w:r>
      <w:r>
        <w:rPr>
          <w:rFonts w:ascii="宋体" w:hAnsi="宋体"/>
          <w:b/>
          <w:bCs/>
          <w:sz w:val="28"/>
          <w:szCs w:val="28"/>
        </w:rPr>
        <w:t>较</w:t>
      </w:r>
    </w:p>
    <w:p w14:paraId="17936C1A">
      <w:pPr>
        <w:numPr>
          <w:ilvl w:val="0"/>
          <w:numId w:val="3"/>
        </w:numPr>
        <w:adjustRightInd w:val="0"/>
        <w:spacing w:line="360" w:lineRule="auto"/>
        <w:ind w:left="0" w:leftChars="0" w:firstLine="420" w:firstLineChars="0"/>
        <w:rPr>
          <w:rFonts w:hint="eastAsia" w:ascii="宋体" w:hAnsi="宋体" w:cs="宋体"/>
          <w:b/>
          <w:bCs/>
          <w:szCs w:val="24"/>
        </w:rPr>
      </w:pPr>
      <w:r>
        <w:rPr>
          <w:rFonts w:hint="eastAsia" w:ascii="宋体" w:hAnsi="宋体"/>
          <w:b/>
          <w:bCs/>
          <w:szCs w:val="24"/>
        </w:rPr>
        <w:t>方法</w:t>
      </w:r>
    </w:p>
    <w:p w14:paraId="574326E3">
      <w:pPr>
        <w:adjustRightInd w:val="0"/>
        <w:spacing w:line="360" w:lineRule="auto"/>
        <w:rPr>
          <w:rFonts w:hint="eastAsia" w:ascii="宋体" w:hAnsi="宋体"/>
          <w:szCs w:val="24"/>
        </w:rPr>
      </w:pPr>
      <w:r>
        <w:rPr>
          <w:rFonts w:hint="eastAsia" w:ascii="宋体" w:hAnsi="宋体" w:cs="宋体"/>
          <w:szCs w:val="24"/>
        </w:rPr>
        <w:t>同样采</w:t>
      </w:r>
      <w:r>
        <w:rPr>
          <w:rFonts w:hint="eastAsia" w:ascii="宋体" w:hAnsi="宋体" w:cs="微软雅黑"/>
          <w:szCs w:val="24"/>
        </w:rPr>
        <w:t>用</w:t>
      </w:r>
      <w:r>
        <w:rPr>
          <w:rFonts w:hint="default" w:ascii="Times New Roman" w:hAnsi="Times New Roman" w:cs="Times New Roman"/>
          <w:szCs w:val="24"/>
        </w:rPr>
        <w:t>MAIC方法，针对X阳性</w:t>
      </w:r>
      <w:r>
        <w:rPr>
          <w:rFonts w:hint="default" w:ascii="Times New Roman" w:hAnsi="Times New Roman" w:eastAsia="微软雅黑" w:cs="Times New Roman"/>
          <w:szCs w:val="24"/>
        </w:rPr>
        <w:t>⼈</w:t>
      </w:r>
      <w:r>
        <w:rPr>
          <w:rFonts w:hint="default" w:ascii="Times New Roman" w:hAnsi="Times New Roman" w:cs="Times New Roman"/>
          <w:szCs w:val="24"/>
        </w:rPr>
        <w:t>群调整协变量包括年龄、性别、ECOG状态细分 (0/1/2)</w:t>
      </w:r>
      <w:r>
        <w:rPr>
          <w:rFonts w:ascii="宋体" w:hAnsi="宋体"/>
          <w:szCs w:val="24"/>
        </w:rPr>
        <w:t>。</w:t>
      </w:r>
    </w:p>
    <w:p w14:paraId="60B1BFD1">
      <w:pPr>
        <w:adjustRightInd w:val="0"/>
        <w:spacing w:line="360" w:lineRule="auto"/>
        <w:rPr>
          <w:rFonts w:hint="default" w:ascii="Times New Roman" w:hAnsi="Times New Roman" w:eastAsia="宋体" w:cs="Times New Roman"/>
          <w:szCs w:val="24"/>
        </w:rPr>
      </w:pPr>
      <w:r>
        <w:rPr>
          <w:rFonts w:hint="default" w:ascii="Times New Roman" w:hAnsi="Times New Roman" w:eastAsia="宋体" w:cs="Times New Roman"/>
          <w:szCs w:val="24"/>
        </w:rPr>
        <w:t>⽬标⼈群特征（RCT-C）：</w:t>
      </w:r>
    </w:p>
    <w:p w14:paraId="75B9075E">
      <w:pPr>
        <w:pStyle w:val="31"/>
        <w:numPr>
          <w:ilvl w:val="0"/>
          <w:numId w:val="4"/>
        </w:numPr>
        <w:adjustRightInd w:val="0"/>
        <w:spacing w:line="360" w:lineRule="auto"/>
        <w:ind w:firstLine="0"/>
        <w:rPr>
          <w:rFonts w:hint="eastAsia" w:ascii="宋体" w:hAnsi="宋体"/>
          <w:szCs w:val="24"/>
        </w:rPr>
      </w:pPr>
      <w:r>
        <w:rPr>
          <w:rFonts w:ascii="宋体" w:hAnsi="宋体"/>
          <w:szCs w:val="24"/>
        </w:rPr>
        <w:t xml:space="preserve">年龄均值：65.2岁 </w:t>
      </w:r>
    </w:p>
    <w:p w14:paraId="38A44284">
      <w:pPr>
        <w:pStyle w:val="31"/>
        <w:numPr>
          <w:ilvl w:val="0"/>
          <w:numId w:val="4"/>
        </w:numPr>
        <w:adjustRightInd w:val="0"/>
        <w:spacing w:line="360" w:lineRule="auto"/>
        <w:ind w:firstLine="0"/>
        <w:rPr>
          <w:rFonts w:hint="eastAsia" w:ascii="宋体" w:hAnsi="宋体"/>
          <w:szCs w:val="24"/>
        </w:rPr>
      </w:pPr>
      <w:r>
        <w:rPr>
          <w:rFonts w:ascii="宋体" w:hAnsi="宋体"/>
          <w:szCs w:val="24"/>
        </w:rPr>
        <w:t>男性</w:t>
      </w:r>
      <w:r>
        <w:rPr>
          <w:rFonts w:hint="eastAsia" w:ascii="宋体" w:hAnsi="宋体" w:cs="微软雅黑"/>
          <w:szCs w:val="24"/>
        </w:rPr>
        <w:t>比</w:t>
      </w:r>
      <w:r>
        <w:rPr>
          <w:rFonts w:hint="eastAsia" w:ascii="宋体" w:hAnsi="宋体" w:cs="宋体"/>
          <w:szCs w:val="24"/>
        </w:rPr>
        <w:t>例：</w:t>
      </w:r>
      <w:r>
        <w:rPr>
          <w:rFonts w:ascii="宋体" w:hAnsi="宋体"/>
          <w:szCs w:val="24"/>
        </w:rPr>
        <w:t xml:space="preserve">58.0% </w:t>
      </w:r>
    </w:p>
    <w:p w14:paraId="6C6408FA">
      <w:pPr>
        <w:pStyle w:val="31"/>
        <w:numPr>
          <w:ilvl w:val="0"/>
          <w:numId w:val="4"/>
        </w:numPr>
        <w:adjustRightInd w:val="0"/>
        <w:spacing w:line="360" w:lineRule="auto"/>
        <w:ind w:firstLine="0"/>
        <w:rPr>
          <w:rFonts w:hint="eastAsia" w:ascii="宋体" w:hAnsi="宋体"/>
          <w:szCs w:val="24"/>
        </w:rPr>
      </w:pPr>
      <w:r>
        <w:rPr>
          <w:rFonts w:hint="default" w:ascii="Times New Roman" w:hAnsi="Times New Roman" w:cs="Times New Roman"/>
          <w:szCs w:val="24"/>
        </w:rPr>
        <w:t>ECOG</w:t>
      </w:r>
      <w:r>
        <w:rPr>
          <w:rFonts w:ascii="宋体" w:hAnsi="宋体"/>
          <w:szCs w:val="24"/>
        </w:rPr>
        <w:t>=0/1/2</w:t>
      </w:r>
      <w:r>
        <w:rPr>
          <w:rFonts w:hint="eastAsia" w:ascii="宋体" w:hAnsi="宋体" w:cs="微软雅黑"/>
          <w:szCs w:val="24"/>
        </w:rPr>
        <w:t>比</w:t>
      </w:r>
      <w:r>
        <w:rPr>
          <w:rFonts w:hint="eastAsia" w:ascii="宋体" w:hAnsi="宋体" w:cs="宋体"/>
          <w:szCs w:val="24"/>
        </w:rPr>
        <w:t>例：</w:t>
      </w:r>
      <w:r>
        <w:rPr>
          <w:rFonts w:ascii="宋体" w:hAnsi="宋体"/>
          <w:szCs w:val="24"/>
        </w:rPr>
        <w:t>35.0%/42.0%/23.0%</w:t>
      </w:r>
    </w:p>
    <w:p w14:paraId="618E73D4">
      <w:pPr>
        <w:adjustRightInd w:val="0"/>
        <w:spacing w:line="360" w:lineRule="auto"/>
        <w:rPr>
          <w:rFonts w:hint="eastAsia" w:ascii="宋体" w:hAnsi="宋体"/>
          <w:szCs w:val="24"/>
        </w:rPr>
      </w:pPr>
      <w:r>
        <w:rPr>
          <w:rFonts w:hint="default" w:ascii="Times New Roman" w:hAnsi="Times New Roman" w:cs="Times New Roman"/>
          <w:szCs w:val="24"/>
        </w:rPr>
        <w:t>MAIC</w:t>
      </w:r>
      <w:r>
        <w:rPr>
          <w:rFonts w:ascii="宋体" w:hAnsi="宋体"/>
          <w:szCs w:val="24"/>
        </w:rPr>
        <w:t>权重：由于基线特征相对均衡，权重收敛到均匀分布。</w:t>
      </w:r>
    </w:p>
    <w:p w14:paraId="4680DCB0">
      <w:pPr>
        <w:adjustRightInd w:val="0"/>
        <w:spacing w:line="360" w:lineRule="auto"/>
        <w:rPr>
          <w:rFonts w:hint="eastAsia" w:ascii="宋体" w:hAnsi="宋体"/>
          <w:szCs w:val="24"/>
        </w:rPr>
      </w:pPr>
      <w:r>
        <w:rPr>
          <w:rFonts w:ascii="宋体" w:hAnsi="宋体"/>
          <w:szCs w:val="24"/>
        </w:rPr>
        <w:t>间接</w:t>
      </w:r>
      <w:r>
        <w:rPr>
          <w:rFonts w:hint="eastAsia" w:ascii="微软雅黑" w:hAnsi="微软雅黑" w:eastAsia="微软雅黑" w:cs="微软雅黑"/>
          <w:szCs w:val="24"/>
        </w:rPr>
        <w:t>⽐</w:t>
      </w:r>
      <w:r>
        <w:rPr>
          <w:rFonts w:hint="eastAsia" w:ascii="宋体" w:hAnsi="宋体" w:cs="宋体"/>
          <w:szCs w:val="24"/>
        </w:rPr>
        <w:t>较结果：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4"/>
        <w:gridCol w:w="2416"/>
        <w:gridCol w:w="2766"/>
      </w:tblGrid>
      <w:tr w14:paraId="72C1A6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 w14:paraId="644F1E64">
            <w:pPr>
              <w:adjustRightInd w:val="0"/>
              <w:spacing w:line="360" w:lineRule="auto"/>
              <w:rPr>
                <w:rFonts w:hint="default" w:ascii="Times New Roman" w:hAnsi="Times New Roman" w:cs="Times New Roman"/>
                <w:szCs w:val="24"/>
              </w:rPr>
            </w:pPr>
            <w:r>
              <w:rPr>
                <w:rFonts w:hint="default" w:ascii="Times New Roman" w:hAnsi="Times New Roman" w:cs="Times New Roman"/>
                <w:szCs w:val="24"/>
              </w:rPr>
              <w:t>比较项目</w:t>
            </w:r>
          </w:p>
        </w:tc>
        <w:tc>
          <w:tcPr>
            <w:tcW w:w="2416" w:type="dxa"/>
          </w:tcPr>
          <w:p w14:paraId="4A4DD006">
            <w:pPr>
              <w:adjustRightInd w:val="0"/>
              <w:spacing w:line="360" w:lineRule="auto"/>
              <w:rPr>
                <w:rFonts w:hint="default" w:ascii="Times New Roman" w:hAnsi="Times New Roman" w:cs="Times New Roman"/>
                <w:szCs w:val="24"/>
              </w:rPr>
            </w:pPr>
            <w:r>
              <w:rPr>
                <w:rFonts w:hint="default" w:ascii="Times New Roman" w:hAnsi="Times New Roman" w:cs="Times New Roman"/>
                <w:szCs w:val="24"/>
              </w:rPr>
              <w:t>HR</w:t>
            </w:r>
          </w:p>
        </w:tc>
        <w:tc>
          <w:tcPr>
            <w:tcW w:w="2766" w:type="dxa"/>
          </w:tcPr>
          <w:p w14:paraId="26324D06">
            <w:pPr>
              <w:adjustRightInd w:val="0"/>
              <w:spacing w:line="360" w:lineRule="auto"/>
              <w:rPr>
                <w:rFonts w:hint="default" w:ascii="Times New Roman" w:hAnsi="Times New Roman" w:cs="Times New Roman"/>
                <w:szCs w:val="24"/>
              </w:rPr>
            </w:pPr>
            <w:r>
              <w:rPr>
                <w:rFonts w:hint="default" w:ascii="Times New Roman" w:hAnsi="Times New Roman" w:cs="Times New Roman"/>
                <w:szCs w:val="24"/>
              </w:rPr>
              <w:t>95% CI</w:t>
            </w:r>
          </w:p>
        </w:tc>
      </w:tr>
      <w:tr w14:paraId="7365AB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 w14:paraId="0A23862D">
            <w:pPr>
              <w:adjustRightInd w:val="0"/>
              <w:spacing w:line="360" w:lineRule="auto"/>
              <w:rPr>
                <w:rFonts w:hint="default" w:ascii="Times New Roman" w:hAnsi="Times New Roman" w:cs="Times New Roman"/>
                <w:szCs w:val="24"/>
              </w:rPr>
            </w:pPr>
            <w:r>
              <w:rPr>
                <w:rFonts w:hint="default" w:ascii="Times New Roman" w:hAnsi="Times New Roman" w:cs="Times New Roman"/>
                <w:szCs w:val="24"/>
              </w:rPr>
              <w:t>RCT-A Drug-A vs Control</w:t>
            </w:r>
          </w:p>
        </w:tc>
        <w:tc>
          <w:tcPr>
            <w:tcW w:w="2416" w:type="dxa"/>
          </w:tcPr>
          <w:p w14:paraId="0FDF2BAA">
            <w:pPr>
              <w:adjustRightInd w:val="0"/>
              <w:spacing w:line="360" w:lineRule="auto"/>
              <w:rPr>
                <w:rFonts w:hint="default" w:ascii="Times New Roman" w:hAnsi="Times New Roman" w:cs="Times New Roman"/>
                <w:szCs w:val="24"/>
              </w:rPr>
            </w:pPr>
            <w:r>
              <w:rPr>
                <w:rFonts w:hint="default" w:ascii="Times New Roman" w:hAnsi="Times New Roman" w:cs="Times New Roman"/>
                <w:szCs w:val="24"/>
              </w:rPr>
              <w:t>0.576</w:t>
            </w:r>
          </w:p>
        </w:tc>
        <w:tc>
          <w:tcPr>
            <w:tcW w:w="2766" w:type="dxa"/>
          </w:tcPr>
          <w:p w14:paraId="7F9ADEE3">
            <w:pPr>
              <w:adjustRightInd w:val="0"/>
              <w:spacing w:line="360" w:lineRule="auto"/>
              <w:rPr>
                <w:rFonts w:hint="default" w:ascii="Times New Roman" w:hAnsi="Times New Roman" w:cs="Times New Roman"/>
                <w:szCs w:val="24"/>
              </w:rPr>
            </w:pPr>
            <w:r>
              <w:rPr>
                <w:rFonts w:hint="default" w:ascii="Times New Roman" w:hAnsi="Times New Roman" w:cs="Times New Roman"/>
                <w:szCs w:val="24"/>
              </w:rPr>
              <w:t>(0.432, 0.768)</w:t>
            </w:r>
          </w:p>
        </w:tc>
      </w:tr>
      <w:tr w14:paraId="1778E6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 w14:paraId="1E6832D6">
            <w:pPr>
              <w:adjustRightInd w:val="0"/>
              <w:spacing w:line="360" w:lineRule="auto"/>
              <w:rPr>
                <w:rFonts w:hint="default" w:ascii="Times New Roman" w:hAnsi="Times New Roman" w:cs="Times New Roman"/>
                <w:szCs w:val="24"/>
              </w:rPr>
            </w:pPr>
            <w:r>
              <w:rPr>
                <w:rFonts w:hint="default" w:ascii="Times New Roman" w:hAnsi="Times New Roman" w:cs="Times New Roman"/>
                <w:szCs w:val="24"/>
              </w:rPr>
              <w:t>RCT-C Drug-C vs Control</w:t>
            </w:r>
          </w:p>
        </w:tc>
        <w:tc>
          <w:tcPr>
            <w:tcW w:w="2416" w:type="dxa"/>
          </w:tcPr>
          <w:p w14:paraId="1E72FB35">
            <w:pPr>
              <w:adjustRightInd w:val="0"/>
              <w:spacing w:line="360" w:lineRule="auto"/>
              <w:rPr>
                <w:rFonts w:hint="default" w:ascii="Times New Roman" w:hAnsi="Times New Roman" w:cs="Times New Roman"/>
                <w:szCs w:val="24"/>
              </w:rPr>
            </w:pPr>
            <w:r>
              <w:rPr>
                <w:rFonts w:hint="default" w:ascii="Times New Roman" w:hAnsi="Times New Roman" w:cs="Times New Roman"/>
                <w:szCs w:val="24"/>
              </w:rPr>
              <w:t>0.680</w:t>
            </w:r>
          </w:p>
        </w:tc>
        <w:tc>
          <w:tcPr>
            <w:tcW w:w="2766" w:type="dxa"/>
          </w:tcPr>
          <w:p w14:paraId="3C1BF453">
            <w:pPr>
              <w:adjustRightInd w:val="0"/>
              <w:spacing w:line="360" w:lineRule="auto"/>
              <w:rPr>
                <w:rFonts w:hint="default" w:ascii="Times New Roman" w:hAnsi="Times New Roman" w:cs="Times New Roman"/>
                <w:szCs w:val="24"/>
              </w:rPr>
            </w:pPr>
            <w:r>
              <w:rPr>
                <w:rFonts w:hint="default" w:ascii="Times New Roman" w:hAnsi="Times New Roman" w:cs="Times New Roman"/>
                <w:szCs w:val="24"/>
              </w:rPr>
              <w:t>(0.520, 0.890)</w:t>
            </w:r>
          </w:p>
        </w:tc>
      </w:tr>
      <w:tr w14:paraId="5C79FD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 w14:paraId="1429C824">
            <w:pPr>
              <w:adjustRightInd w:val="0"/>
              <w:spacing w:line="360" w:lineRule="auto"/>
              <w:rPr>
                <w:rFonts w:hint="default" w:ascii="Times New Roman" w:hAnsi="Times New Roman" w:cs="Times New Roman"/>
                <w:szCs w:val="24"/>
              </w:rPr>
            </w:pPr>
            <w:r>
              <w:rPr>
                <w:rFonts w:hint="default" w:ascii="Times New Roman" w:hAnsi="Times New Roman" w:cs="Times New Roman"/>
                <w:szCs w:val="24"/>
              </w:rPr>
              <w:t>Drug-A vs Drug-C</w:t>
            </w:r>
          </w:p>
        </w:tc>
        <w:tc>
          <w:tcPr>
            <w:tcW w:w="2416" w:type="dxa"/>
          </w:tcPr>
          <w:p w14:paraId="21EFBE75">
            <w:pPr>
              <w:adjustRightInd w:val="0"/>
              <w:spacing w:line="360" w:lineRule="auto"/>
              <w:rPr>
                <w:rFonts w:hint="default" w:ascii="Times New Roman" w:hAnsi="Times New Roman" w:cs="Times New Roman"/>
                <w:szCs w:val="24"/>
              </w:rPr>
            </w:pPr>
            <w:r>
              <w:rPr>
                <w:rFonts w:hint="default" w:ascii="Times New Roman" w:hAnsi="Times New Roman" w:cs="Times New Roman"/>
                <w:szCs w:val="24"/>
              </w:rPr>
              <w:t>0.848</w:t>
            </w:r>
          </w:p>
        </w:tc>
        <w:tc>
          <w:tcPr>
            <w:tcW w:w="2766" w:type="dxa"/>
          </w:tcPr>
          <w:p w14:paraId="056A5CE2">
            <w:pPr>
              <w:adjustRightInd w:val="0"/>
              <w:spacing w:line="360" w:lineRule="auto"/>
              <w:rPr>
                <w:rFonts w:hint="default" w:ascii="Times New Roman" w:hAnsi="Times New Roman" w:cs="Times New Roman"/>
                <w:szCs w:val="24"/>
              </w:rPr>
            </w:pPr>
            <w:r>
              <w:rPr>
                <w:rFonts w:hint="default" w:ascii="Times New Roman" w:hAnsi="Times New Roman" w:cs="Times New Roman"/>
                <w:szCs w:val="24"/>
              </w:rPr>
              <w:t>(0.530, 1.355)</w:t>
            </w:r>
          </w:p>
        </w:tc>
      </w:tr>
    </w:tbl>
    <w:p w14:paraId="53AF23C9">
      <w:pPr>
        <w:adjustRightInd w:val="0"/>
        <w:spacing w:line="360" w:lineRule="auto"/>
        <w:rPr>
          <w:rFonts w:hint="eastAsia" w:ascii="宋体" w:hAnsi="宋体"/>
          <w:szCs w:val="24"/>
        </w:rPr>
      </w:pPr>
    </w:p>
    <w:p w14:paraId="1D095B9C">
      <w:pPr>
        <w:adjustRightInd w:val="0"/>
        <w:spacing w:line="360" w:lineRule="auto"/>
        <w:jc w:val="center"/>
        <w:rPr>
          <w:rFonts w:hint="eastAsia" w:ascii="宋体" w:hAnsi="宋体"/>
          <w:szCs w:val="24"/>
        </w:rPr>
      </w:pPr>
      <w:r>
        <w:rPr>
          <w:rFonts w:hint="eastAsia" w:ascii="宋体" w:hAnsi="宋体"/>
          <w:szCs w:val="24"/>
        </w:rPr>
        <w:drawing>
          <wp:inline distT="0" distB="0" distL="0" distR="0">
            <wp:extent cx="5003165" cy="3321050"/>
            <wp:effectExtent l="0" t="0" r="6985" b="0"/>
            <wp:docPr id="349724606" name="图形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724606" name="图形 3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8890" cy="332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28C59">
      <w:pPr>
        <w:numPr>
          <w:ilvl w:val="0"/>
          <w:numId w:val="3"/>
        </w:numPr>
        <w:adjustRightInd w:val="0"/>
        <w:spacing w:line="360" w:lineRule="auto"/>
        <w:ind w:left="0" w:leftChars="0" w:firstLine="420" w:firstLineChars="0"/>
        <w:rPr>
          <w:rFonts w:ascii="宋体" w:hAnsi="宋体"/>
          <w:b/>
          <w:bCs/>
          <w:szCs w:val="24"/>
        </w:rPr>
      </w:pPr>
      <w:r>
        <w:rPr>
          <w:rFonts w:hint="eastAsia" w:ascii="宋体" w:hAnsi="宋体"/>
          <w:b/>
          <w:bCs/>
          <w:szCs w:val="24"/>
          <w:lang w:val="en-US" w:eastAsia="zh-CN"/>
        </w:rPr>
        <w:t>结论</w:t>
      </w:r>
    </w:p>
    <w:p w14:paraId="227DE7A0">
      <w:pPr>
        <w:adjustRightInd w:val="0"/>
        <w:spacing w:line="360" w:lineRule="auto"/>
        <w:rPr>
          <w:rFonts w:hint="eastAsia" w:ascii="宋体" w:hAnsi="宋体"/>
          <w:b w:val="0"/>
          <w:bCs w:val="0"/>
          <w:szCs w:val="24"/>
        </w:rPr>
      </w:pPr>
      <w:r>
        <w:rPr>
          <w:rFonts w:hint="eastAsia" w:ascii="宋体" w:hAnsi="宋体"/>
          <w:b w:val="0"/>
          <w:bCs w:val="0"/>
          <w:szCs w:val="24"/>
          <w:lang w:val="en-US" w:eastAsia="zh-CN"/>
        </w:rPr>
        <w:t>基于</w:t>
      </w:r>
      <w:r>
        <w:rPr>
          <w:rFonts w:ascii="宋体" w:hAnsi="宋体"/>
          <w:b w:val="0"/>
          <w:bCs w:val="0"/>
          <w:szCs w:val="24"/>
        </w:rPr>
        <w:t>敏感性分析</w:t>
      </w:r>
      <w:r>
        <w:rPr>
          <w:rFonts w:hint="eastAsia" w:ascii="宋体" w:hAnsi="宋体"/>
          <w:b w:val="0"/>
          <w:bCs w:val="0"/>
          <w:szCs w:val="24"/>
          <w:lang w:eastAsia="zh-CN"/>
        </w:rPr>
        <w:t>，</w:t>
      </w:r>
      <w:r>
        <w:rPr>
          <w:rFonts w:hint="eastAsia" w:ascii="宋体" w:hAnsi="宋体"/>
          <w:b w:val="0"/>
          <w:bCs w:val="0"/>
          <w:szCs w:val="24"/>
          <w:lang w:val="en-US" w:eastAsia="zh-CN"/>
        </w:rPr>
        <w:t>在</w:t>
      </w:r>
      <w:r>
        <w:rPr>
          <w:rFonts w:ascii="宋体" w:hAnsi="宋体"/>
          <w:b w:val="0"/>
          <w:bCs w:val="0"/>
          <w:szCs w:val="24"/>
        </w:rPr>
        <w:t>关键参数±10%变化时，HR变化范围在±11%内，结果相对稳定。</w:t>
      </w:r>
      <w:r>
        <w:rPr>
          <w:rFonts w:hint="eastAsia" w:ascii="宋体" w:hAnsi="宋体"/>
          <w:b w:val="0"/>
          <w:bCs w:val="0"/>
          <w:szCs w:val="24"/>
          <w:lang w:val="en-US" w:eastAsia="zh-CN"/>
        </w:rPr>
        <w:t>因此，可得</w:t>
      </w:r>
      <w:r>
        <w:rPr>
          <w:rFonts w:ascii="宋体" w:hAnsi="宋体"/>
          <w:b w:val="0"/>
          <w:bCs w:val="0"/>
          <w:szCs w:val="24"/>
        </w:rPr>
        <w:t>Drug-A相</w:t>
      </w:r>
      <w:r>
        <w:rPr>
          <w:rFonts w:hint="eastAsia" w:ascii="宋体" w:hAnsi="宋体" w:cs="微软雅黑"/>
          <w:b w:val="0"/>
          <w:bCs w:val="0"/>
          <w:szCs w:val="24"/>
        </w:rPr>
        <w:t>比</w:t>
      </w:r>
      <w:r>
        <w:rPr>
          <w:rFonts w:ascii="宋体" w:hAnsi="宋体"/>
          <w:b w:val="0"/>
          <w:bCs w:val="0"/>
          <w:szCs w:val="24"/>
        </w:rPr>
        <w:t>Drug-C在X阳性</w:t>
      </w:r>
      <w:r>
        <w:rPr>
          <w:rFonts w:hint="eastAsia" w:ascii="宋体" w:hAnsi="宋体" w:cs="微软雅黑"/>
          <w:b w:val="0"/>
          <w:bCs w:val="0"/>
          <w:szCs w:val="24"/>
        </w:rPr>
        <w:t>人</w:t>
      </w:r>
      <w:r>
        <w:rPr>
          <w:rFonts w:hint="eastAsia" w:ascii="宋体" w:hAnsi="宋体" w:cs="宋体"/>
          <w:b w:val="0"/>
          <w:bCs w:val="0"/>
          <w:szCs w:val="24"/>
        </w:rPr>
        <w:t>群中降低</w:t>
      </w:r>
      <w:r>
        <w:rPr>
          <w:rFonts w:ascii="宋体" w:hAnsi="宋体"/>
          <w:b w:val="0"/>
          <w:bCs w:val="0"/>
          <w:szCs w:val="24"/>
        </w:rPr>
        <w:t>15.2%死亡</w:t>
      </w:r>
      <w:r>
        <w:rPr>
          <w:rFonts w:hint="eastAsia" w:ascii="宋体" w:hAnsi="宋体" w:cs="微软雅黑"/>
          <w:b w:val="0"/>
          <w:bCs w:val="0"/>
          <w:szCs w:val="24"/>
        </w:rPr>
        <w:t>风</w:t>
      </w:r>
      <w:r>
        <w:rPr>
          <w:rFonts w:hint="eastAsia" w:ascii="宋体" w:hAnsi="宋体" w:cs="宋体"/>
          <w:b w:val="0"/>
          <w:bCs w:val="0"/>
          <w:szCs w:val="24"/>
        </w:rPr>
        <w:t>险，但差异</w:t>
      </w:r>
      <w:r>
        <w:rPr>
          <w:rFonts w:hint="eastAsia" w:ascii="宋体" w:hAnsi="宋体" w:cs="微软雅黑"/>
          <w:b w:val="0"/>
          <w:bCs w:val="0"/>
          <w:szCs w:val="24"/>
        </w:rPr>
        <w:t>无</w:t>
      </w:r>
      <w:r>
        <w:rPr>
          <w:rFonts w:hint="eastAsia" w:ascii="宋体" w:hAnsi="宋体" w:cs="宋体"/>
          <w:b w:val="0"/>
          <w:bCs w:val="0"/>
          <w:szCs w:val="24"/>
        </w:rPr>
        <w:t>统计学意义</w:t>
      </w:r>
      <w:r>
        <w:rPr>
          <w:rFonts w:ascii="宋体" w:hAnsi="宋体"/>
          <w:b w:val="0"/>
          <w:bCs w:val="0"/>
          <w:szCs w:val="24"/>
        </w:rPr>
        <w:t xml:space="preserve"> (95% CI包含1)。</w:t>
      </w:r>
    </w:p>
    <w:p w14:paraId="7FDE795B">
      <w:pPr>
        <w:adjustRightInd w:val="0"/>
        <w:spacing w:line="360" w:lineRule="auto"/>
        <w:rPr>
          <w:rFonts w:hint="eastAsia" w:ascii="宋体" w:hAnsi="宋体"/>
          <w:b/>
          <w:bCs/>
          <w:szCs w:val="24"/>
        </w:rPr>
      </w:pPr>
      <w:r>
        <w:rPr>
          <w:rFonts w:hint="eastAsia" w:ascii="宋体" w:hAnsi="宋体"/>
          <w:b/>
          <w:bCs/>
          <w:szCs w:val="24"/>
        </w:rPr>
        <w:t>主要局限性:</w:t>
      </w:r>
    </w:p>
    <w:p w14:paraId="68870998">
      <w:pPr>
        <w:adjustRightInd w:val="0"/>
        <w:spacing w:line="360" w:lineRule="auto"/>
        <w:rPr>
          <w:rFonts w:hint="eastAsia" w:ascii="宋体" w:hAnsi="宋体"/>
          <w:b w:val="0"/>
          <w:bCs w:val="0"/>
          <w:szCs w:val="24"/>
        </w:rPr>
      </w:pPr>
      <w:r>
        <w:rPr>
          <w:rFonts w:hint="eastAsia" w:ascii="宋体" w:hAnsi="宋体"/>
          <w:b w:val="0"/>
          <w:bCs w:val="0"/>
          <w:szCs w:val="24"/>
        </w:rPr>
        <w:t>1. 数据可得性限制：RCT-C只有发表的汇总数据，无法进行个体患者数据分析</w:t>
      </w:r>
    </w:p>
    <w:p w14:paraId="6F53F693">
      <w:pPr>
        <w:adjustRightInd w:val="0"/>
        <w:spacing w:line="360" w:lineRule="auto"/>
        <w:rPr>
          <w:rFonts w:hint="eastAsia" w:ascii="宋体" w:hAnsi="宋体"/>
          <w:b w:val="0"/>
          <w:bCs w:val="0"/>
          <w:szCs w:val="24"/>
        </w:rPr>
      </w:pPr>
      <w:r>
        <w:rPr>
          <w:rFonts w:hint="eastAsia" w:ascii="宋体" w:hAnsi="宋体"/>
          <w:b w:val="0"/>
          <w:bCs w:val="0"/>
          <w:szCs w:val="24"/>
        </w:rPr>
        <w:t>2. 假设依赖性：间接比较基于相似性假设和传递性假设</w:t>
      </w:r>
    </w:p>
    <w:p w14:paraId="3142307F">
      <w:pPr>
        <w:adjustRightInd w:val="0"/>
        <w:spacing w:line="360" w:lineRule="auto"/>
        <w:rPr>
          <w:rFonts w:hint="eastAsia" w:ascii="宋体" w:hAnsi="宋体"/>
          <w:b w:val="0"/>
          <w:bCs w:val="0"/>
          <w:szCs w:val="24"/>
        </w:rPr>
      </w:pPr>
      <w:r>
        <w:rPr>
          <w:rFonts w:hint="eastAsia" w:ascii="宋体" w:hAnsi="宋体"/>
          <w:b w:val="0"/>
          <w:bCs w:val="0"/>
          <w:szCs w:val="24"/>
        </w:rPr>
        <w:t>3. 未测量混杂：可能存在影响结果但未被调整的混杂因素</w:t>
      </w:r>
    </w:p>
    <w:p w14:paraId="1493CA61">
      <w:pPr>
        <w:adjustRightInd w:val="0"/>
        <w:spacing w:line="360" w:lineRule="auto"/>
        <w:rPr>
          <w:rFonts w:hint="eastAsia" w:ascii="宋体" w:hAnsi="宋体"/>
          <w:b w:val="0"/>
          <w:bCs w:val="0"/>
          <w:szCs w:val="24"/>
        </w:rPr>
      </w:pPr>
      <w:r>
        <w:rPr>
          <w:rFonts w:hint="eastAsia" w:ascii="宋体" w:hAnsi="宋体"/>
          <w:b w:val="0"/>
          <w:bCs w:val="0"/>
          <w:szCs w:val="24"/>
        </w:rPr>
        <w:t>4. 时间异质性：不同试验的开展时间可能导致标准治疗的差异</w:t>
      </w:r>
    </w:p>
    <w:p w14:paraId="749DEBAE">
      <w:pPr>
        <w:adjustRightInd w:val="0"/>
        <w:spacing w:line="360" w:lineRule="auto"/>
        <w:rPr>
          <w:rFonts w:hint="eastAsia" w:ascii="宋体" w:hAnsi="宋体"/>
          <w:b w:val="0"/>
          <w:bCs w:val="0"/>
          <w:szCs w:val="24"/>
        </w:rPr>
      </w:pPr>
      <w:r>
        <w:rPr>
          <w:rFonts w:hint="eastAsia" w:ascii="宋体" w:hAnsi="宋体"/>
          <w:b w:val="0"/>
          <w:bCs w:val="0"/>
          <w:szCs w:val="24"/>
        </w:rPr>
        <w:t>5. 人群代表性：调整后的有效样本量减少，可能影响统计功效</w:t>
      </w:r>
    </w:p>
    <w:p w14:paraId="68A9BF33">
      <w:pPr>
        <w:adjustRightInd w:val="0"/>
        <w:spacing w:line="360" w:lineRule="auto"/>
        <w:rPr>
          <w:rFonts w:hint="eastAsia" w:ascii="宋体" w:hAnsi="宋体"/>
          <w:b/>
          <w:bCs/>
          <w:szCs w:val="24"/>
        </w:rPr>
      </w:pPr>
      <w:r>
        <w:rPr>
          <w:rFonts w:hint="eastAsia" w:ascii="宋体" w:hAnsi="宋体"/>
          <w:b/>
          <w:bCs/>
          <w:szCs w:val="24"/>
        </w:rPr>
        <w:t>稳健性考虑:</w:t>
      </w:r>
    </w:p>
    <w:p w14:paraId="3D44976C">
      <w:pPr>
        <w:adjustRightInd w:val="0"/>
        <w:spacing w:line="360" w:lineRule="auto"/>
        <w:rPr>
          <w:rFonts w:hint="eastAsia" w:ascii="宋体" w:hAnsi="宋体"/>
          <w:b w:val="0"/>
          <w:bCs w:val="0"/>
          <w:szCs w:val="24"/>
        </w:rPr>
      </w:pPr>
      <w:r>
        <w:rPr>
          <w:rFonts w:hint="eastAsia" w:ascii="宋体" w:hAnsi="宋体"/>
          <w:b w:val="0"/>
          <w:bCs w:val="0"/>
          <w:szCs w:val="24"/>
        </w:rPr>
        <w:t>1. 敏感性分析：改变关键参数和假设进行多种情景分析</w:t>
      </w:r>
    </w:p>
    <w:p w14:paraId="7F025490">
      <w:pPr>
        <w:adjustRightInd w:val="0"/>
        <w:spacing w:line="360" w:lineRule="auto"/>
        <w:rPr>
          <w:rFonts w:hint="eastAsia" w:ascii="宋体" w:hAnsi="宋体"/>
          <w:b w:val="0"/>
          <w:bCs w:val="0"/>
          <w:szCs w:val="24"/>
        </w:rPr>
      </w:pPr>
      <w:r>
        <w:rPr>
          <w:rFonts w:hint="eastAsia" w:ascii="宋体" w:hAnsi="宋体"/>
          <w:b w:val="0"/>
          <w:bCs w:val="0"/>
          <w:szCs w:val="24"/>
        </w:rPr>
        <w:t>2. 专家验证：结合临床专家意见评估结果的临床合理性</w:t>
      </w:r>
    </w:p>
    <w:p w14:paraId="28D49384">
      <w:pPr>
        <w:adjustRightInd w:val="0"/>
        <w:spacing w:line="360" w:lineRule="auto"/>
        <w:rPr>
          <w:rFonts w:hint="eastAsia" w:ascii="宋体" w:hAnsi="宋体"/>
          <w:b w:val="0"/>
          <w:bCs w:val="0"/>
          <w:szCs w:val="24"/>
        </w:rPr>
      </w:pPr>
      <w:r>
        <w:rPr>
          <w:rFonts w:hint="eastAsia" w:ascii="宋体" w:hAnsi="宋体"/>
          <w:b w:val="0"/>
          <w:bCs w:val="0"/>
          <w:szCs w:val="24"/>
        </w:rPr>
        <w:t>3. 外部验证：与其他间接比较研究或真实世界数据进行对比</w:t>
      </w:r>
    </w:p>
    <w:p w14:paraId="0C34AD69">
      <w:pPr>
        <w:adjustRightInd w:val="0"/>
        <w:spacing w:line="360" w:lineRule="auto"/>
        <w:rPr>
          <w:rFonts w:hint="eastAsia" w:ascii="宋体" w:hAnsi="宋体"/>
          <w:b w:val="0"/>
          <w:bCs w:val="0"/>
          <w:szCs w:val="24"/>
        </w:rPr>
      </w:pPr>
      <w:r>
        <w:rPr>
          <w:rFonts w:hint="eastAsia" w:ascii="宋体" w:hAnsi="宋体"/>
          <w:b w:val="0"/>
          <w:bCs w:val="0"/>
          <w:szCs w:val="24"/>
        </w:rPr>
        <w:t>4. 不确定性量化：通过概率敏感性分析评估结果的稳定性</w:t>
      </w:r>
    </w:p>
    <w:p w14:paraId="2878932A">
      <w:pPr>
        <w:adjustRightInd w:val="0"/>
        <w:spacing w:line="360" w:lineRule="auto"/>
        <w:rPr>
          <w:rFonts w:hint="eastAsia" w:ascii="宋体" w:hAnsi="宋体"/>
          <w:b/>
          <w:bCs/>
          <w:szCs w:val="24"/>
        </w:rPr>
      </w:pPr>
      <w:r>
        <w:rPr>
          <w:rFonts w:hint="eastAsia" w:ascii="宋体" w:hAnsi="宋体"/>
          <w:b/>
          <w:bCs/>
          <w:szCs w:val="24"/>
        </w:rPr>
        <w:t>改进建议:</w:t>
      </w:r>
    </w:p>
    <w:p w14:paraId="3C17D55E">
      <w:pPr>
        <w:adjustRightInd w:val="0"/>
        <w:spacing w:line="360" w:lineRule="auto"/>
        <w:rPr>
          <w:rFonts w:hint="eastAsia" w:ascii="宋体" w:hAnsi="宋体"/>
          <w:b w:val="0"/>
          <w:bCs w:val="0"/>
          <w:szCs w:val="24"/>
        </w:rPr>
      </w:pPr>
      <w:r>
        <w:rPr>
          <w:rFonts w:hint="eastAsia" w:ascii="宋体" w:hAnsi="宋体"/>
          <w:b w:val="0"/>
          <w:bCs w:val="0"/>
          <w:szCs w:val="24"/>
        </w:rPr>
        <w:t>1. 获取更多</w:t>
      </w:r>
      <w:r>
        <w:rPr>
          <w:rFonts w:hint="eastAsia" w:ascii="宋体" w:hAnsi="宋体"/>
          <w:b w:val="0"/>
          <w:bCs w:val="0"/>
          <w:szCs w:val="24"/>
          <w:lang w:val="en-US" w:eastAsia="zh-CN"/>
        </w:rPr>
        <w:t>的</w:t>
      </w:r>
      <w:bookmarkStart w:id="0" w:name="_GoBack"/>
      <w:bookmarkEnd w:id="0"/>
      <w:r>
        <w:rPr>
          <w:rFonts w:hint="eastAsia" w:ascii="宋体" w:hAnsi="宋体"/>
          <w:b w:val="0"/>
          <w:bCs w:val="0"/>
          <w:szCs w:val="24"/>
        </w:rPr>
        <w:t>IPD：尽可能获得RCT-C的个体患者数据</w:t>
      </w:r>
    </w:p>
    <w:p w14:paraId="74A56EFF">
      <w:pPr>
        <w:adjustRightInd w:val="0"/>
        <w:spacing w:line="360" w:lineRule="auto"/>
        <w:rPr>
          <w:rFonts w:hint="eastAsia" w:ascii="宋体" w:hAnsi="宋体"/>
          <w:b w:val="0"/>
          <w:bCs w:val="0"/>
          <w:szCs w:val="24"/>
        </w:rPr>
      </w:pPr>
      <w:r>
        <w:rPr>
          <w:rFonts w:hint="eastAsia" w:ascii="宋体" w:hAnsi="宋体"/>
          <w:b w:val="0"/>
          <w:bCs w:val="0"/>
          <w:szCs w:val="24"/>
        </w:rPr>
        <w:t>2. 网络Meta分析：如有更多</w:t>
      </w:r>
      <w:r>
        <w:rPr>
          <w:rFonts w:hint="eastAsia" w:ascii="宋体" w:hAnsi="宋体"/>
          <w:b w:val="0"/>
          <w:bCs w:val="0"/>
          <w:szCs w:val="24"/>
          <w:lang w:val="en-US" w:eastAsia="zh-CN"/>
        </w:rPr>
        <w:t>的</w:t>
      </w:r>
      <w:r>
        <w:rPr>
          <w:rFonts w:hint="eastAsia" w:ascii="宋体" w:hAnsi="宋体"/>
          <w:b w:val="0"/>
          <w:bCs w:val="0"/>
          <w:szCs w:val="24"/>
        </w:rPr>
        <w:t>比较试验，可考虑网络Meta分析</w:t>
      </w:r>
    </w:p>
    <w:p w14:paraId="379631C0">
      <w:pPr>
        <w:adjustRightInd w:val="0"/>
        <w:spacing w:line="360" w:lineRule="auto"/>
        <w:rPr>
          <w:rFonts w:hint="eastAsia" w:ascii="宋体" w:hAnsi="宋体"/>
          <w:b w:val="0"/>
          <w:bCs w:val="0"/>
          <w:szCs w:val="24"/>
        </w:rPr>
      </w:pPr>
      <w:r>
        <w:rPr>
          <w:rFonts w:hint="eastAsia" w:ascii="宋体" w:hAnsi="宋体"/>
          <w:b w:val="0"/>
          <w:bCs w:val="0"/>
          <w:szCs w:val="24"/>
        </w:rPr>
        <w:t>3. 贝叶斯方法：利用先验信息改善估计精度</w:t>
      </w:r>
    </w:p>
    <w:p w14:paraId="13A3D7FF">
      <w:pPr>
        <w:adjustRightInd w:val="0"/>
        <w:spacing w:line="360" w:lineRule="auto"/>
        <w:rPr>
          <w:rFonts w:hint="eastAsia" w:ascii="宋体" w:hAnsi="宋体"/>
          <w:b w:val="0"/>
          <w:bCs w:val="0"/>
          <w:szCs w:val="24"/>
        </w:rPr>
      </w:pPr>
      <w:r>
        <w:rPr>
          <w:rFonts w:hint="eastAsia" w:ascii="宋体" w:hAnsi="宋体"/>
          <w:b w:val="0"/>
          <w:bCs w:val="0"/>
          <w:szCs w:val="24"/>
        </w:rPr>
        <w:t>4. 模拟治疗比较：使用疾病进展模型进行更复杂的间接比较</w:t>
      </w:r>
    </w:p>
    <w:p w14:paraId="5D1FE11A">
      <w:pPr>
        <w:adjustRightInd w:val="0"/>
        <w:spacing w:line="360" w:lineRule="auto"/>
        <w:rPr>
          <w:rFonts w:hint="eastAsia" w:ascii="宋体" w:hAnsi="宋体"/>
          <w:b/>
          <w:bCs/>
          <w:sz w:val="28"/>
          <w:szCs w:val="28"/>
        </w:rPr>
      </w:pPr>
      <w:r>
        <w:rPr>
          <w:rFonts w:ascii="宋体" w:hAnsi="宋体"/>
          <w:b/>
          <w:bCs/>
          <w:sz w:val="28"/>
          <w:szCs w:val="28"/>
        </w:rPr>
        <w:t xml:space="preserve">总结 </w:t>
      </w:r>
      <w:r>
        <w:rPr>
          <w:rFonts w:hint="eastAsia" w:ascii="宋体" w:hAnsi="宋体"/>
          <w:b/>
          <w:bCs/>
          <w:sz w:val="28"/>
          <w:szCs w:val="28"/>
        </w:rPr>
        <w:t>：</w:t>
      </w:r>
    </w:p>
    <w:p w14:paraId="63F9D103">
      <w:pPr>
        <w:spacing w:line="360" w:lineRule="auto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  <w:szCs w:val="24"/>
        </w:rPr>
        <w:t>3.1</w:t>
      </w:r>
      <w:r>
        <w:rPr>
          <w:rFonts w:hint="eastAsia" w:ascii="Times New Roman" w:hAnsi="Times New Roman" w:cs="Times New Roman"/>
          <w:b/>
          <w:bCs/>
          <w:szCs w:val="24"/>
          <w:lang w:val="en-US" w:eastAsia="zh-CN"/>
        </w:rPr>
        <w:t>:</w:t>
      </w:r>
      <w:r>
        <w:rPr>
          <w:rFonts w:hint="default" w:ascii="Times New Roman" w:hAnsi="Times New Roman" w:cs="Times New Roman"/>
          <w:b/>
          <w:bCs/>
          <w:szCs w:val="24"/>
        </w:rPr>
        <w:t>通过数学重构获得RCT-B X阴性组数据，与Drug-A比较无显著差异，但可以近似认为</w:t>
      </w:r>
      <w:r>
        <w:rPr>
          <w:rFonts w:hint="default" w:ascii="Times New Roman" w:hAnsi="Times New Roman" w:cs="Times New Roman"/>
          <w:b/>
          <w:bCs/>
        </w:rPr>
        <w:t>Drug - A的风险低于Drug- B的重构数据。</w:t>
      </w:r>
    </w:p>
    <w:p w14:paraId="64C37691">
      <w:pPr>
        <w:adjustRightInd w:val="0"/>
        <w:spacing w:line="360" w:lineRule="auto"/>
        <w:rPr>
          <w:rFonts w:hint="eastAsia" w:ascii="Times New Roman" w:hAnsi="Times New Roman" w:cs="Times New Roman"/>
          <w:b/>
          <w:bCs/>
          <w:szCs w:val="24"/>
          <w:lang w:eastAsia="zh-CN"/>
        </w:rPr>
      </w:pPr>
      <w:r>
        <w:rPr>
          <w:rFonts w:hint="default" w:ascii="Times New Roman" w:hAnsi="Times New Roman" w:cs="Times New Roman"/>
          <w:b/>
          <w:bCs/>
          <w:szCs w:val="24"/>
        </w:rPr>
        <w:t>3.2</w:t>
      </w:r>
      <w:r>
        <w:rPr>
          <w:rFonts w:hint="eastAsia" w:ascii="Times New Roman" w:hAnsi="Times New Roman" w:cs="Times New Roman"/>
          <w:b/>
          <w:bCs/>
          <w:szCs w:val="24"/>
          <w:lang w:val="en-US" w:eastAsia="zh-CN"/>
        </w:rPr>
        <w:t>:</w:t>
      </w:r>
      <w:r>
        <w:rPr>
          <w:rFonts w:hint="default" w:ascii="Times New Roman" w:hAnsi="Times New Roman" w:cs="Times New Roman"/>
          <w:b/>
          <w:bCs/>
          <w:szCs w:val="24"/>
        </w:rPr>
        <w:t>MAIC调整后Drug-A在X阴性</w:t>
      </w:r>
      <w:r>
        <w:rPr>
          <w:rFonts w:hint="default" w:ascii="Times New Roman" w:hAnsi="Times New Roman" w:eastAsia="微软雅黑" w:cs="Times New Roman"/>
          <w:b/>
          <w:bCs/>
          <w:szCs w:val="24"/>
        </w:rPr>
        <w:t>⼈</w:t>
      </w:r>
      <w:r>
        <w:rPr>
          <w:rFonts w:hint="default" w:ascii="Times New Roman" w:hAnsi="Times New Roman" w:cs="Times New Roman"/>
          <w:b/>
          <w:bCs/>
          <w:szCs w:val="24"/>
        </w:rPr>
        <w:t>群中显著优于Drug-B (HR=0.545, p=0.031) 3.3</w:t>
      </w:r>
      <w:r>
        <w:rPr>
          <w:rFonts w:hint="eastAsia" w:ascii="Times New Roman" w:hAnsi="Times New Roman" w:cs="Times New Roman"/>
          <w:b/>
          <w:bCs/>
          <w:szCs w:val="24"/>
          <w:lang w:val="en-US" w:eastAsia="zh-CN"/>
        </w:rPr>
        <w:t>:</w:t>
      </w:r>
      <w:r>
        <w:rPr>
          <w:rFonts w:hint="default" w:ascii="Times New Roman" w:hAnsi="Times New Roman" w:cs="Times New Roman"/>
          <w:b/>
          <w:bCs/>
          <w:szCs w:val="24"/>
        </w:rPr>
        <w:t>Drug-A在X阳性</w:t>
      </w:r>
      <w:r>
        <w:rPr>
          <w:rFonts w:hint="default" w:ascii="Times New Roman" w:hAnsi="Times New Roman" w:eastAsia="微软雅黑" w:cs="Times New Roman"/>
          <w:b/>
          <w:bCs/>
          <w:szCs w:val="24"/>
        </w:rPr>
        <w:t>⼈</w:t>
      </w:r>
      <w:r>
        <w:rPr>
          <w:rFonts w:hint="default" w:ascii="Times New Roman" w:hAnsi="Times New Roman" w:cs="Times New Roman"/>
          <w:b/>
          <w:bCs/>
          <w:szCs w:val="24"/>
        </w:rPr>
        <w:t xml:space="preserve">群中相比Drug-C无显著优势(HR=0.848, p&gt;0.05) </w:t>
      </w:r>
      <w:r>
        <w:rPr>
          <w:rFonts w:hint="eastAsia" w:ascii="Times New Roman" w:hAnsi="Times New Roman" w:cs="Times New Roman"/>
          <w:b/>
          <w:bCs/>
          <w:szCs w:val="24"/>
          <w:lang w:eastAsia="zh-CN"/>
        </w:rPr>
        <w:t>。</w:t>
      </w:r>
    </w:p>
    <w:p w14:paraId="7D87D417">
      <w:pPr>
        <w:adjustRightInd w:val="0"/>
        <w:spacing w:line="360" w:lineRule="auto"/>
        <w:rPr>
          <w:rFonts w:hint="default" w:ascii="Times New Roman" w:hAnsi="Times New Roman" w:cs="Times New Roman"/>
          <w:b/>
          <w:bCs/>
          <w:szCs w:val="24"/>
        </w:rPr>
      </w:pPr>
      <w:r>
        <w:rPr>
          <w:rFonts w:hint="default" w:ascii="Times New Roman" w:hAnsi="Times New Roman" w:cs="Times New Roman"/>
          <w:b/>
          <w:bCs/>
          <w:szCs w:val="24"/>
        </w:rPr>
        <w:t>生物标志物X在治疗选择中具有重要指导价值，X阴性患者更适合选择Drug-A。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0FB939"/>
    <w:multiLevelType w:val="singleLevel"/>
    <w:tmpl w:val="B10FB939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DCC3786E"/>
    <w:multiLevelType w:val="singleLevel"/>
    <w:tmpl w:val="DCC3786E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">
    <w:nsid w:val="170836AF"/>
    <w:multiLevelType w:val="multilevel"/>
    <w:tmpl w:val="170836AF"/>
    <w:lvl w:ilvl="0" w:tentative="0">
      <w:start w:val="1"/>
      <w:numFmt w:val="bullet"/>
      <w:lvlText w:val="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3">
    <w:nsid w:val="286CA1F8"/>
    <w:multiLevelType w:val="singleLevel"/>
    <w:tmpl w:val="286CA1F8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37C"/>
    <w:rsid w:val="000D364E"/>
    <w:rsid w:val="0010056A"/>
    <w:rsid w:val="00441396"/>
    <w:rsid w:val="00696BEC"/>
    <w:rsid w:val="006A237C"/>
    <w:rsid w:val="00796C2A"/>
    <w:rsid w:val="008637C9"/>
    <w:rsid w:val="00957BC6"/>
    <w:rsid w:val="00B56DCC"/>
    <w:rsid w:val="00B7713D"/>
    <w:rsid w:val="00C43A9D"/>
    <w:rsid w:val="00FC6FED"/>
    <w:rsid w:val="060005C7"/>
    <w:rsid w:val="0FDC6AE7"/>
    <w:rsid w:val="13E47A17"/>
    <w:rsid w:val="37C04489"/>
    <w:rsid w:val="51CC0773"/>
    <w:rsid w:val="5C541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2F5597" w:themeColor="accent1" w:themeShade="BF"/>
      <w:sz w:val="28"/>
      <w:szCs w:val="28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2F5597" w:themeColor="accent1" w:themeShade="BF"/>
      <w:szCs w:val="24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2F5597" w:themeColor="accent1" w:themeShade="BF"/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3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36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28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7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8">
    <w:name w:val="标题 1 字符"/>
    <w:basedOn w:val="17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character" w:customStyle="1" w:styleId="19">
    <w:name w:val="标题 2 字符"/>
    <w:basedOn w:val="17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20">
    <w:name w:val="标题 3 字符"/>
    <w:basedOn w:val="17"/>
    <w:link w:val="4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1">
    <w:name w:val="标题 4 字符"/>
    <w:basedOn w:val="17"/>
    <w:link w:val="5"/>
    <w:semiHidden/>
    <w:qFormat/>
    <w:uiPriority w:val="9"/>
    <w:rPr>
      <w:rFonts w:cstheme="majorBidi"/>
      <w:color w:val="2F5597" w:themeColor="accent1" w:themeShade="BF"/>
      <w:sz w:val="28"/>
      <w:szCs w:val="28"/>
    </w:rPr>
  </w:style>
  <w:style w:type="character" w:customStyle="1" w:styleId="22">
    <w:name w:val="标题 5 字符"/>
    <w:basedOn w:val="17"/>
    <w:link w:val="6"/>
    <w:semiHidden/>
    <w:qFormat/>
    <w:uiPriority w:val="9"/>
    <w:rPr>
      <w:rFonts w:cstheme="majorBidi"/>
      <w:color w:val="2F5597" w:themeColor="accent1" w:themeShade="BF"/>
      <w:sz w:val="24"/>
      <w:szCs w:val="24"/>
    </w:rPr>
  </w:style>
  <w:style w:type="character" w:customStyle="1" w:styleId="23">
    <w:name w:val="标题 6 字符"/>
    <w:basedOn w:val="17"/>
    <w:link w:val="7"/>
    <w:semiHidden/>
    <w:qFormat/>
    <w:uiPriority w:val="9"/>
    <w:rPr>
      <w:rFonts w:cstheme="majorBidi"/>
      <w:b/>
      <w:bCs/>
      <w:color w:val="2F5597" w:themeColor="accent1" w:themeShade="BF"/>
    </w:rPr>
  </w:style>
  <w:style w:type="character" w:customStyle="1" w:styleId="24">
    <w:name w:val="标题 7 字符"/>
    <w:basedOn w:val="17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8 字符"/>
    <w:basedOn w:val="17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标题 9 字符"/>
    <w:basedOn w:val="17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标题 字符"/>
    <w:basedOn w:val="17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副标题 字符"/>
    <w:basedOn w:val="17"/>
    <w:link w:val="13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引用 字符"/>
    <w:basedOn w:val="17"/>
    <w:link w:val="29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7"/>
    <w:qFormat/>
    <w:uiPriority w:val="21"/>
    <w:rPr>
      <w:i/>
      <w:iCs/>
      <w:color w:val="2F5597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4">
    <w:name w:val="明显引用 字符"/>
    <w:basedOn w:val="17"/>
    <w:link w:val="33"/>
    <w:qFormat/>
    <w:uiPriority w:val="30"/>
    <w:rPr>
      <w:i/>
      <w:iCs/>
      <w:color w:val="2F5597" w:themeColor="accent1" w:themeShade="BF"/>
    </w:rPr>
  </w:style>
  <w:style w:type="character" w:customStyle="1" w:styleId="35">
    <w:name w:val="Intense Reference"/>
    <w:basedOn w:val="17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6">
    <w:name w:val="页眉 字符"/>
    <w:basedOn w:val="17"/>
    <w:link w:val="12"/>
    <w:qFormat/>
    <w:uiPriority w:val="99"/>
    <w:rPr>
      <w:rFonts w:eastAsia="宋体"/>
      <w:sz w:val="18"/>
      <w:szCs w:val="18"/>
    </w:rPr>
  </w:style>
  <w:style w:type="character" w:customStyle="1" w:styleId="37">
    <w:name w:val="页脚 字符"/>
    <w:basedOn w:val="17"/>
    <w:link w:val="11"/>
    <w:qFormat/>
    <w:uiPriority w:val="99"/>
    <w:rPr>
      <w:rFonts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svg"/><Relationship Id="rId8" Type="http://schemas.openxmlformats.org/officeDocument/2006/relationships/image" Target="media/image3.png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1.svg"/><Relationship Id="rId18" Type="http://schemas.openxmlformats.org/officeDocument/2006/relationships/image" Target="media/image10.png"/><Relationship Id="rId17" Type="http://schemas.openxmlformats.org/officeDocument/2006/relationships/image" Target="media/image9.svg"/><Relationship Id="rId16" Type="http://schemas.openxmlformats.org/officeDocument/2006/relationships/image" Target="media/image8.png"/><Relationship Id="rId15" Type="http://schemas.openxmlformats.org/officeDocument/2006/relationships/image" Target="media/image7.wmf"/><Relationship Id="rId14" Type="http://schemas.openxmlformats.org/officeDocument/2006/relationships/oleObject" Target="embeddings/oleObject5.bin"/><Relationship Id="rId13" Type="http://schemas.openxmlformats.org/officeDocument/2006/relationships/image" Target="media/image6.wmf"/><Relationship Id="rId12" Type="http://schemas.openxmlformats.org/officeDocument/2006/relationships/oleObject" Target="embeddings/oleObject4.bin"/><Relationship Id="rId11" Type="http://schemas.openxmlformats.org/officeDocument/2006/relationships/image" Target="media/image5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1065</Words>
  <Characters>1323</Characters>
  <Lines>71</Lines>
  <Paragraphs>76</Paragraphs>
  <TotalTime>10</TotalTime>
  <ScaleCrop>false</ScaleCrop>
  <LinksUpToDate>false</LinksUpToDate>
  <CharactersWithSpaces>1370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2025-09-29T16:53:00Z</dcterms:created>
  <dc:creator>俊海 徐</dc:creator>
  <cp:lastModifiedBy>徐俊海</cp:lastModifiedBy>
  <dcterms:modified xsi:type="dcterms:W3CDTF">2025-09-30T04:52:14Z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  <property fmtid="{D5CDD505-2E9C-101B-9397-08002B2CF9AE}" pid="3" name="KSOTemplateDocerSaveRecord">
    <vt:lpwstr>eyJoZGlkIjoiZjg0MjU4ZWUzZTY4MTE5ZmFkYTYwNGMwMWZjZDdmNzkiLCJ1c2VySWQiOiIxNjgzMDczNTYxIn0=</vt:lpwstr>
  </property>
  <property fmtid="{D5CDD505-2E9C-101B-9397-08002B2CF9AE}" pid="4" name="KSOProductBuildVer">
    <vt:lpwstr>2052-12.1.0.22529</vt:lpwstr>
  </property>
  <property fmtid="{D5CDD505-2E9C-101B-9397-08002B2CF9AE}" pid="5" name="ICV">
    <vt:lpwstr>2F1DA625DA904346BCED44B3A15C61F5_13</vt:lpwstr>
  </property>
</Properties>
</file>