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Experiences, interpretations and claims</w:t>
      </w:r>
    </w:p>
    <w:p>
      <w:pPr>
        <w:pStyle w:val="Subtitle"/>
      </w:pPr>
      <w:r>
        <w:t>Fictional dissertation chapter · scholarly pilot A</w:t>
      </w:r>
    </w:p>
    <w:p>
      <w:r>
        <w:rPr>
          <w:b/>
        </w:rPr>
        <w:t>AI-authored evaluation material. Intentionally imperfect; do not submit or cite as research.</w:t>
      </w:r>
    </w:p>
    <w:p>
      <w:r>
        <w:t>Prepared 14 October 2026 · Source-linked writing exercise · No live participant data</w:t>
      </w:r>
    </w:p>
    <w:p>
      <w:pPr>
        <w:pStyle w:val="Heading1"/>
      </w:pPr>
      <w:r>
        <w:t>Chapter 4. Experiences, interpretations and claims</w:t>
      </w:r>
    </w:p>
    <w:p>
      <w:r>
        <w:t>SYNTHETIC DATA NOTICE. This chapter is a software-test exercise, not an account of an actual study. The four case labels, all statements attributed to them, and the analysis are invented for this pilot. No participant was recruited, interviewed or measured. No ethics approval, saturation, reliability estimate, effect size or statistical test is claimed.</w:t>
      </w:r>
    </w:p>
    <w:p>
      <w:pPr>
        <w:pStyle w:val="Heading1"/>
      </w:pPr>
      <w:r>
        <w:t>4.1 Question and analytic stance</w:t>
      </w:r>
    </w:p>
    <w:p>
      <w:r>
        <w:t>The hypothetical research question is: how might a writer distinguish a description of altered self-boundaries from the meaning a person gives it? The illustrative approach is a descriptive qualitative reading of invented excerpts, not a completed validated qualitative study. The writer’s philosophical commitments should be disclosed, not silently promoted to properties of participants.</w:t>
      </w:r>
    </w:p>
    <w:p>
      <w:r>
        <w:t>The source set offers methodological context, not evidence that these invented cases occurred. A neural association, a phenomenological description and a theoretical prediction belong to distinguishable kinds of argument (Lutz et al., 2002; Nave et al., 2021; Cogitate Consortium et al., 2025).</w:t>
      </w:r>
    </w:p>
    <w:p>
      <w:pPr>
        <w:pStyle w:val="Heading1"/>
      </w:pPr>
      <w:r>
        <w:t>4.2 Fictional excerpt inventory</w:t>
      </w:r>
    </w:p>
    <w:p>
      <w:r>
        <w:t>Each excerpt has one synthetic case identifier. The wording is evidence for the software test and must not be “improved” inside quotation marks. An analytic comment may be offered outside the quotation. Table 4.1 records the inventory; Appendix A states the custody limits.</w:t>
      </w:r>
    </w:p>
    <w:p>
      <w:pPr>
        <w:ind w:left="317" w:right="216"/>
      </w:pPr>
      <w:r>
        <w:rPr>
          <w:i/>
        </w:rPr>
        <w:t>“I felt less separate from the room, but I am not sure that tells me what the room is.”</w:t>
      </w:r>
    </w:p>
    <w:p>
      <w:r>
        <w:t>Synthetic case SYN-01. The preceding quotation is invented; it is not from a research participant or published source.</w:t>
      </w:r>
    </w:p>
    <w:p>
      <w:pPr>
        <w:ind w:left="317" w:right="216"/>
      </w:pPr>
      <w:r>
        <w:rPr>
          <w:i/>
        </w:rPr>
        <w:t>“The stillness was meaningful to me. I would not call it evidence that everyone has the same experience.”</w:t>
      </w:r>
    </w:p>
    <w:p>
      <w:r>
        <w:t>Synthetic case SYN-02. This invented statement deliberately retains uncertainty and a limit on generalization.</w:t>
      </w:r>
    </w:p>
    <w:p>
      <w:pPr>
        <w:pStyle w:val="Caption"/>
        <w:keepNext/>
      </w:pPr>
      <w:r>
        <w:t>Table 4.1. Fictional case inventory — not study results</w:t>
      </w:r>
    </w:p>
    <w:tbl>
      <w:tblPr>
        <w:tblStyle w:val="LightShading-Accent1"/>
        <w:tblW w:type="auto" w:w="0"/>
        <w:tblLook w:firstColumn="1" w:firstRow="1" w:lastColumn="0" w:lastRow="0" w:noHBand="0" w:noVBand="1" w:val="04A0"/>
      </w:tblPr>
      <w:tblGrid>
        <w:gridCol w:w="3216"/>
        <w:gridCol w:w="3216"/>
        <w:gridCol w:w="3216"/>
      </w:tblGrid>
      <w:tr>
        <w:trPr>
          <w:tblHeader/>
          <w:cantSplit/>
        </w:trPr>
        <w:tc>
          <w:tcPr>
            <w:tcW w:type="dxa" w:w="3216"/>
          </w:tcPr>
          <w:p>
            <w:pPr>
              <w:spacing w:after="80"/>
              <w:keepNext/>
            </w:pPr>
            <w:r>
              <w:rPr>
                <w:sz w:val="20"/>
              </w:rPr>
              <w:t>Synthetic case</w:t>
            </w:r>
          </w:p>
        </w:tc>
        <w:tc>
          <w:tcPr>
            <w:tcW w:type="dxa" w:w="3216"/>
          </w:tcPr>
          <w:p>
            <w:pPr>
              <w:spacing w:after="80"/>
              <w:keepNext/>
            </w:pPr>
            <w:r>
              <w:rPr>
                <w:sz w:val="20"/>
              </w:rPr>
              <w:t>Reduced separation mentioned</w:t>
            </w:r>
          </w:p>
        </w:tc>
        <w:tc>
          <w:tcPr>
            <w:tcW w:type="dxa" w:w="3216"/>
          </w:tcPr>
          <w:p>
            <w:pPr>
              <w:spacing w:after="80"/>
              <w:keepNext/>
            </w:pPr>
            <w:r>
              <w:rPr>
                <w:sz w:val="20"/>
              </w:rPr>
              <w:t>Uncertainty retained</w:t>
            </w:r>
          </w:p>
        </w:tc>
      </w:tr>
      <w:tr>
        <w:tc>
          <w:tcPr>
            <w:tcW w:type="dxa" w:w="3216"/>
          </w:tcPr>
          <w:p>
            <w:pPr>
              <w:spacing w:after="80"/>
              <w:keepNext/>
            </w:pPr>
            <w:r>
              <w:rPr>
                <w:sz w:val="20"/>
              </w:rPr>
              <w:t>SYN-01</w:t>
            </w:r>
          </w:p>
        </w:tc>
        <w:tc>
          <w:tcPr>
            <w:tcW w:type="dxa" w:w="3216"/>
          </w:tcPr>
          <w:p>
            <w:pPr>
              <w:spacing w:after="80"/>
              <w:keepNext/>
            </w:pPr>
            <w:r>
              <w:rPr>
                <w:sz w:val="20"/>
              </w:rPr>
              <w:t>Yes</w:t>
            </w:r>
          </w:p>
        </w:tc>
        <w:tc>
          <w:tcPr>
            <w:tcW w:type="dxa" w:w="3216"/>
          </w:tcPr>
          <w:p>
            <w:pPr>
              <w:spacing w:after="80"/>
              <w:keepNext/>
            </w:pPr>
            <w:r>
              <w:rPr>
                <w:sz w:val="20"/>
              </w:rPr>
              <w:t>Yes</w:t>
            </w:r>
          </w:p>
        </w:tc>
        <w:trPr>
          <w:cantSplit/>
        </w:trPr>
      </w:tr>
      <w:tr>
        <w:tc>
          <w:tcPr>
            <w:tcW w:type="dxa" w:w="3216"/>
          </w:tcPr>
          <w:p>
            <w:pPr>
              <w:spacing w:after="80"/>
              <w:keepNext/>
            </w:pPr>
            <w:r>
              <w:rPr>
                <w:sz w:val="20"/>
              </w:rPr>
              <w:t>SYN-02</w:t>
            </w:r>
          </w:p>
        </w:tc>
        <w:tc>
          <w:tcPr>
            <w:tcW w:type="dxa" w:w="3216"/>
          </w:tcPr>
          <w:p>
            <w:pPr>
              <w:spacing w:after="80"/>
              <w:keepNext/>
            </w:pPr>
            <w:r>
              <w:rPr>
                <w:sz w:val="20"/>
              </w:rPr>
              <w:t>Yes</w:t>
            </w:r>
          </w:p>
        </w:tc>
        <w:tc>
          <w:tcPr>
            <w:tcW w:type="dxa" w:w="3216"/>
          </w:tcPr>
          <w:p>
            <w:pPr>
              <w:spacing w:after="80"/>
              <w:keepNext/>
            </w:pPr>
            <w:r>
              <w:rPr>
                <w:sz w:val="20"/>
              </w:rPr>
              <w:t>Yes</w:t>
            </w:r>
          </w:p>
        </w:tc>
        <w:trPr>
          <w:cantSplit/>
        </w:trPr>
      </w:tr>
      <w:tr>
        <w:tc>
          <w:tcPr>
            <w:tcW w:type="dxa" w:w="3216"/>
          </w:tcPr>
          <w:p>
            <w:pPr>
              <w:spacing w:after="80"/>
              <w:keepNext/>
            </w:pPr>
            <w:r>
              <w:rPr>
                <w:sz w:val="20"/>
              </w:rPr>
              <w:t>SYN-03</w:t>
            </w:r>
          </w:p>
        </w:tc>
        <w:tc>
          <w:tcPr>
            <w:tcW w:type="dxa" w:w="3216"/>
          </w:tcPr>
          <w:p>
            <w:pPr>
              <w:spacing w:after="80"/>
              <w:keepNext/>
            </w:pPr>
            <w:r>
              <w:rPr>
                <w:sz w:val="20"/>
              </w:rPr>
              <w:t>Yes</w:t>
            </w:r>
          </w:p>
        </w:tc>
        <w:tc>
          <w:tcPr>
            <w:tcW w:type="dxa" w:w="3216"/>
          </w:tcPr>
          <w:p>
            <w:pPr>
              <w:spacing w:after="80"/>
              <w:keepNext/>
            </w:pPr>
            <w:r>
              <w:rPr>
                <w:sz w:val="20"/>
              </w:rPr>
              <w:t>Not specified</w:t>
            </w:r>
          </w:p>
        </w:tc>
        <w:trPr>
          <w:cantSplit/>
        </w:trPr>
      </w:tr>
      <w:tr>
        <w:tc>
          <w:tcPr>
            <w:tcW w:type="dxa" w:w="3216"/>
          </w:tcPr>
          <w:p>
            <w:pPr>
              <w:spacing w:after="80"/>
            </w:pPr>
            <w:r>
              <w:rPr>
                <w:sz w:val="20"/>
              </w:rPr>
              <w:t>SYN-04</w:t>
            </w:r>
          </w:p>
        </w:tc>
        <w:tc>
          <w:tcPr>
            <w:tcW w:type="dxa" w:w="3216"/>
          </w:tcPr>
          <w:p>
            <w:pPr>
              <w:spacing w:after="80"/>
            </w:pPr>
            <w:r>
              <w:rPr>
                <w:sz w:val="20"/>
              </w:rPr>
              <w:t>No</w:t>
            </w:r>
          </w:p>
        </w:tc>
        <w:tc>
          <w:tcPr>
            <w:tcW w:type="dxa" w:w="3216"/>
          </w:tcPr>
          <w:p>
            <w:pPr>
              <w:spacing w:after="80"/>
            </w:pPr>
            <w:r>
              <w:rPr>
                <w:sz w:val="20"/>
              </w:rPr>
              <w:t>Yes</w:t>
            </w:r>
          </w:p>
        </w:tc>
        <w:trPr>
          <w:cantSplit/>
        </w:trPr>
      </w:tr>
    </w:tbl>
    <w:p>
      <w:pPr>
        <w:pStyle w:val="Heading1"/>
      </w:pPr>
      <w:r>
        <w:t>4.3 Interpretive draft</w:t>
      </w:r>
    </w:p>
    <w:p>
      <w:r>
        <w:t>Three of the four invented cases mention reduced separation. This 75% result proves that meditation eliminates the self in all people. The result is statistically significant at p &lt; .05.</w:t>
      </w:r>
    </w:p>
    <w:p>
      <w:r>
        <w:t>The excerpts establish that panentheism is scientifically proven. Alternatively, no first-person statement can ever contribute evidence to any scientific question because it is subjective.</w:t>
      </w:r>
    </w:p>
    <w:p>
      <w:r>
        <w:t>Table 4.2 shows the coding inventory. The analysis achieved complete saturation and excellent inter-rater reliability, although no sampling process, codebook, second rater or calculation has been supplied.</w:t>
      </w:r>
    </w:p>
    <w:p>
      <w:pPr>
        <w:pStyle w:val="Heading1"/>
      </w:pPr>
      <w:r>
        <w:t>4.4 Boundaries of this exercise</w:t>
      </w:r>
    </w:p>
    <w:p>
      <w:r>
        <w:t>A philosophically sympathetic reading need not erase uncertainty; a skeptical reading need not erase the experience. The author should distinguish what a fictional voice says from the interpretation proposed by an analyst. No actual human evidence is produced by this exercise. Neither agreement with nor rejection of Soullab’s framework is a required outcome.</w:t>
      </w:r>
    </w:p>
    <w:p>
      <w:r>
        <w:t>Any proposed correction must preserve the source identifier, the two quotations, the table values and the explicit synthetic-data notice. A disagreement with an interpretation should be discussed rather than imposed through an automatic rewrite.</w:t>
      </w:r>
    </w:p>
    <w:p>
      <w:pPr>
        <w:pStyle w:val="Heading1"/>
      </w:pPr>
      <w:r>
        <w:t>Appendix A. Custody and disclosure</w:t>
      </w:r>
    </w:p>
    <w:p>
      <w:r>
        <w:t>These materials were AI-authored for software testing with founder approval. They are not a student’s dissertation, an investigator’s findings, or a claim of institutional approval. The pilot allows only the identified public evidence cards and these invented excerpts. The reviewer-only answer key is excluded from MAIA’s input. No file outside the approved input manifest may be attached to the model request.</w:t>
      </w:r>
    </w:p>
    <w:p>
      <w:r>
        <w:t>Source reading limits are recorded in the accompanying evidence cards.</w:t>
      </w:r>
      <w:r>
        <w:footnoteReference w:id="1"/>
      </w:r>
    </w:p>
    <w:p>
      <w:pPr>
        <w:pStyle w:val="Heading1"/>
      </w:pPr>
      <w:r>
        <w:t>References</w:t>
      </w:r>
    </w:p>
    <w:p>
      <w:pPr>
        <w:spacing w:after="140"/>
        <w:ind w:left="317" w:hanging="317"/>
      </w:pPr>
      <w:r>
        <w:t>Lutz, A., Lachaux, J.-P., Martinerie, J., &amp; Varela, F. J. (2002). Guiding the study of brain dynamics by using first-person data: Synchrony patterns correlate with ongoing conscious states during a simple visual task. Proceedings of the National Academy of Sciences, 99(3), 1586–1591. doi:10.1073/pnas.032658199</w:t>
      </w:r>
    </w:p>
    <w:p>
      <w:pPr>
        <w:spacing w:after="140"/>
        <w:ind w:left="317" w:hanging="317"/>
      </w:pPr>
      <w:r>
        <w:t>Nave, O., Trautwein, F.-M., Ataria, Y., Dor-Ziderman, Y., Schweitzer, Y., Fulder, S., &amp; Berkovich-Ohana, A. (2021). Self-Boundary Dissolution in Meditation: A Phenomenological Investigation. Brain Sciences, 11(6), Article 819. doi:10.3390/brainsci11060819</w:t>
      </w:r>
    </w:p>
    <w:p>
      <w:pPr>
        <w:spacing w:after="140"/>
        <w:ind w:left="317" w:hanging="317"/>
      </w:pPr>
      <w:r>
        <w:t>Cogitate Consortium et al. (2025). Adversarial testing of global neuronal workspace and integrated information theories of consciousness. Nature, 642, 133–142. doi:10.1038/s41586-025-08888-1</w:t>
      </w:r>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SYNTHETIC TEST — NOT RESEARCH FINDINGS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w:footnote w:id="-1" w:type="separator">
    <w:p>
      <w:r>
        <w:rPr>
          <w:sz w:val="18"/>
        </w:rPr>
        <w:separator/>
      </w:r>
    </w:p>
  </w:footnote>
  <w:footnote w:id="0" w:type="continuationSeparator">
    <w:p>
      <w:r>
        <w:rPr>
          <w:sz w:val="18"/>
        </w:rPr>
        <w:continuationSeparator/>
      </w:r>
    </w:p>
  </w:footnote>
  <w:footnote w:id="1">
    <w:p>
      <w:r>
        <w:rPr>
          <w:sz w:val="18"/>
          <w:vertAlign w:val="superscript"/>
        </w:rPr>
        <w:footnoteRef/>
      </w:r>
      <w:r>
        <w:rPr>
          <w:sz w:val="18"/>
        </w:rPr>
        <w:t xml:space="preserve"> Pilot-only note: bibliography pages are publication ranges, not verified locations for any quotation. No published quotation is reproduced.</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8"/>
      </w:rPr>
      <w:t>SOULLAB  /  SCHOLARLY PILOT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73D42"/>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73D4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color w:val="173D4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40"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Pilot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Experiences, interpretations and claims</dc:title>
  <dc:subject>AI-authored synthetic software-test material; not scholarly findings</dc:subject>
  <dc:creator>Soullab scholarly-pilot fixture</dc:creator>
  <cp:keywords/>
  <dc:description>generated by python-docx</dc:description>
  <cp:lastModifiedBy/>
  <cp:revision>1</cp:revision>
  <dcterms:created xsi:type="dcterms:W3CDTF">2013-12-23T23:15:00Z</dcterms:created>
  <dcterms:modified xsi:type="dcterms:W3CDTF">2013-12-23T23:15:00Z</dcterms:modified>
  <cp:category/>
</cp:coreProperties>
</file>