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maia-founder-whitepaper"/>
    <w:p>
      <w:pPr>
        <w:pStyle w:val="Heading1"/>
      </w:pPr>
      <w:r>
        <w:t xml:space="preserve">MAIA — Founder Whitepaper</w:t>
      </w:r>
    </w:p>
    <w:p>
      <w:pPr>
        <w:pStyle w:val="FirstParagraph"/>
      </w:pPr>
      <w:r>
        <w:rPr>
          <w:b/>
          <w:bCs/>
        </w:rPr>
        <w:t xml:space="preserve">Version 0.9 — 2026-06-02</w:t>
      </w:r>
      <w:r>
        <w:t xml:space="preserve"> </w:t>
      </w:r>
      <w:r>
        <w:rPr>
          <w:i/>
          <w:iCs/>
        </w:rPr>
        <w:t xml:space="preserve">The constraints that come before the system.</w:t>
      </w:r>
    </w:p>
    <w:p>
      <w:r>
        <w:pict>
          <v:rect style="width:0;height:1.5pt" o:hralign="center" o:hrstd="t" o:hr="t"/>
        </w:pict>
      </w:r>
    </w:p>
    <w:bookmarkStart w:id="9" w:name="how-to-read-this-document"/>
    <w:p>
      <w:pPr>
        <w:pStyle w:val="Heading2"/>
      </w:pPr>
      <w:r>
        <w:t xml:space="preserve">How to read this document</w:t>
      </w:r>
    </w:p>
    <w:p>
      <w:pPr>
        <w:pStyle w:val="FirstParagraph"/>
      </w:pPr>
      <w:r>
        <w:t xml:space="preserve">This is a founder whitepaper and a state of the system at one moment in time. It is not the canonical 1.0, and does not pretend to be.</w:t>
      </w:r>
    </w:p>
    <w:p>
      <w:pPr>
        <w:pStyle w:val="BodyText"/>
      </w:pPr>
      <w:r>
        <w:t xml:space="preserve">A difficulty has to be named before the first claim, because it shapes every claim that follows. The words this subject requires — and several appear in these pages — have been hollowed out by people who meant the opposite of what they said.</w:t>
      </w:r>
      <w:r>
        <w:t xml:space="preserve"> </w:t>
      </w:r>
      <w:r>
        <w:rPr>
          <w:i/>
          <w:iCs/>
        </w:rPr>
        <w:t xml:space="preserve">Human-centered. Ethical. Sovereignty.</w:t>
      </w:r>
      <w:r>
        <w:t xml:space="preserve"> </w:t>
      </w:r>
      <w:r>
        <w:t xml:space="preserve">They have accompanied enough systems doing the reverse that they now read, fairly, as warning signs. This paper cannot avoid the vocabulary entirely. What it can do is refuse to lean on it: every claim of consequence points to a named entry in a companion evidence ledger (</w:t>
      </w:r>
      <w:r>
        <w:rPr>
          <w:rStyle w:val="VerbatimChar"/>
        </w:rPr>
        <w:t xml:space="preserve">docs/whitepaper/ARTIFACT_APPENDIX.md</w:t>
      </w:r>
      <w:r>
        <w:t xml:space="preserve">), located by path and given an honest status —</w:t>
      </w:r>
      <w:r>
        <w:t xml:space="preserve"> </w:t>
      </w:r>
      <w:r>
        <w:rPr>
          <w:i/>
          <w:iCs/>
        </w:rPr>
        <w:t xml:space="preserve">canon, doctrine, live, wired, built,</w:t>
      </w:r>
      <w:r>
        <w:t xml:space="preserve"> </w:t>
      </w:r>
      <w:r>
        <w:t xml:space="preserve">or</w:t>
      </w:r>
      <w:r>
        <w:t xml:space="preserve"> </w:t>
      </w:r>
      <w:r>
        <w:rPr>
          <w:i/>
          <w:iCs/>
        </w:rPr>
        <w:t xml:space="preserve">held.</w:t>
      </w:r>
      <w:r>
        <w:t xml:space="preserve"> </w:t>
      </w:r>
      <w:r>
        <w:t xml:space="preserve">Where an artifact cannot yet carry a claim, that is recorded, not smoothed.</w:t>
      </w:r>
    </w:p>
    <w:p>
      <w:pPr>
        <w:pStyle w:val="BodyText"/>
      </w:pPr>
      <w:r>
        <w:t xml:space="preserve">The paper has one spine:</w:t>
      </w:r>
    </w:p>
    <w:p>
      <w:pPr>
        <w:pStyle w:val="BlockText"/>
      </w:pPr>
      <w:r>
        <w:t xml:space="preserve">This is what exists.</w:t>
      </w:r>
      <w:r>
        <w:t xml:space="preserve"> </w:t>
      </w:r>
      <w:r>
        <w:t xml:space="preserve">This is what does not yet exist.</w:t>
      </w:r>
      <w:r>
        <w:t xml:space="preserve"> </w:t>
      </w:r>
      <w:r>
        <w:t xml:space="preserve">Here is how we distinguish between the two.</w:t>
      </w:r>
    </w:p>
    <w:p>
      <w:pPr>
        <w:pStyle w:val="FirstParagraph"/>
      </w:pPr>
      <w:r>
        <w:t xml:space="preserve">It documents a pattern of behavior, not a set of solved problems. The reader is asked to evaluate not whether the vision is compelling, but whether the project has built mechanisms capable of constraining its own vision — and whether it tells the truth about where those mechanisms have and have not reached.</w:t>
      </w:r>
    </w:p>
    <w:p>
      <w:r>
        <w:pict>
          <v:rect style="width:0;height:1.5pt" o:hralign="center" o:hrstd="t" o:hr="t"/>
        </w:pict>
      </w:r>
    </w:p>
    <w:bookmarkEnd w:id="9"/>
    <w:bookmarkStart w:id="10" w:name="X162fdb0f8aa65b58ec93436ab1807d30a1362a3"/>
    <w:p>
      <w:pPr>
        <w:pStyle w:val="Heading2"/>
      </w:pPr>
      <w:r>
        <w:t xml:space="preserve">Part 1 — The problem of human attention and agency</w:t>
      </w:r>
    </w:p>
    <w:p>
      <w:pPr>
        <w:pStyle w:val="FirstParagraph"/>
      </w:pPr>
      <w:r>
        <w:t xml:space="preserve">The condition this project responds to is not a shortage of information or capability. It is the erosion of two things intelligence was supposed to serve: sustained attention, and authorship over one’s own meaning.</w:t>
      </w:r>
    </w:p>
    <w:p>
      <w:pPr>
        <w:pStyle w:val="BodyText"/>
      </w:pPr>
      <w:r>
        <w:t xml:space="preserve">People increasingly experience their inner lives as fragmented across systems that each hold a piece and none hold the thread. Continuity — the sense that a life is unfolding rather than restarting at every interaction — has become scarce, even as the tools promising connection have multiplied. In parallel, the work of making meaning has migrated outward, from the person to the system that summarizes, recommends, predicts, and increasingly decides.</w:t>
      </w:r>
    </w:p>
    <w:p>
      <w:pPr>
        <w:pStyle w:val="BodyText"/>
      </w:pPr>
      <w:r>
        <w:t xml:space="preserve">The dimensions through which a person actually develops agency are slow, hard to measure, and resistant to automation. They are the first things optimized away when intelligence is tuned for throughput, and they are exactly where a person becomes more themselves rather than more managed.</w:t>
      </w:r>
    </w:p>
    <w:p>
      <w:pPr>
        <w:pStyle w:val="BodyText"/>
      </w:pPr>
      <w:r>
        <w:t xml:space="preserve">The position taken here is that the central problem is not how to make machines know more, but how to keep the human the author of their own life while intelligence assists. That reframing changes what counts as success, and it changes what the architecture is permitted to do.</w:t>
      </w:r>
    </w:p>
    <w:p>
      <w:r>
        <w:pict>
          <v:rect style="width:0;height:1.5pt" o:hralign="center" o:hrstd="t" o:hr="t"/>
        </w:pict>
      </w:r>
    </w:p>
    <w:bookmarkEnd w:id="10"/>
    <w:bookmarkStart w:id="11" w:name="X5ee3695d27821239abc8350668ceb3c71e069c7"/>
    <w:p>
      <w:pPr>
        <w:pStyle w:val="Heading2"/>
      </w:pPr>
      <w:r>
        <w:t xml:space="preserve">Part 2 — Why existing AI trajectories create legitimate concern</w:t>
      </w:r>
    </w:p>
    <w:p>
      <w:pPr>
        <w:pStyle w:val="FirstParagraph"/>
      </w:pPr>
      <w:r>
        <w:t xml:space="preserve">It would be dishonest to introduce this system as a clean break from the field that produced it. It is not.</w:t>
      </w:r>
    </w:p>
    <w:p>
      <w:pPr>
        <w:pStyle w:val="BodyText"/>
      </w:pPr>
      <w:r>
        <w:t xml:space="preserve">MAIA comes out of the same lineage as engagement optimization, persuasive design, recommendation systems, and increasingly agentic models. The concern that lineage provokes is earned. The dominant gradients of the field push toward optimizing for engagement over the person’s own interest; persuading under the appearance of helping; substituting the machine as the knower; accumulating data by default; and converting relationship into dependency. These are not failures of intention — they are what systems drift toward when the objective function rewards them for it.</w:t>
      </w:r>
    </w:p>
    <w:p>
      <w:pPr>
        <w:pStyle w:val="BodyText"/>
      </w:pPr>
      <w:r>
        <w:t xml:space="preserve">The question is therefore not whether those trajectories exist, but whether different constraints can be made operational rather than merely declared. The rest of this paper tries to show the constraints, not assert them.</w:t>
      </w:r>
    </w:p>
    <w:p>
      <w:r>
        <w:pict>
          <v:rect style="width:0;height:1.5pt" o:hralign="center" o:hrstd="t" o:hr="t"/>
        </w:pict>
      </w:r>
    </w:p>
    <w:bookmarkEnd w:id="11"/>
    <w:bookmarkStart w:id="12" w:name="X9f345cedc810eb0a7ea9e1fd05e163bea7b9f64"/>
    <w:p>
      <w:pPr>
        <w:pStyle w:val="Heading2"/>
      </w:pPr>
      <w:r>
        <w:t xml:space="preserve">Part 3 — The design challenge: assist without displacing</w:t>
      </w:r>
    </w:p>
    <w:p>
      <w:pPr>
        <w:pStyle w:val="FirstParagraph"/>
      </w:pPr>
      <w:r>
        <w:t xml:space="preserve">The design problem is a set of tensions to be held, not resolved by collapse:</w:t>
      </w:r>
    </w:p>
    <w:p>
      <w:pPr>
        <w:pStyle w:val="Compact"/>
        <w:numPr>
          <w:ilvl w:val="0"/>
          <w:numId w:val="1001"/>
        </w:numPr>
      </w:pPr>
      <w:r>
        <w:rPr>
          <w:b/>
          <w:bCs/>
        </w:rPr>
        <w:t xml:space="preserve">Continuity without capture</w:t>
      </w:r>
      <w:r>
        <w:t xml:space="preserve"> </w:t>
      </w:r>
      <w:r>
        <w:t xml:space="preserve">— remember enough to make a relationship continuous, without the memory becoming surveillance or the relationship becoming gravitational.</w:t>
      </w:r>
    </w:p>
    <w:p>
      <w:pPr>
        <w:pStyle w:val="Compact"/>
        <w:numPr>
          <w:ilvl w:val="0"/>
          <w:numId w:val="1001"/>
        </w:numPr>
      </w:pPr>
      <w:r>
        <w:rPr>
          <w:b/>
          <w:bCs/>
        </w:rPr>
        <w:t xml:space="preserve">Reflection without persuasion</w:t>
      </w:r>
      <w:r>
        <w:t xml:space="preserve"> </w:t>
      </w:r>
      <w:r>
        <w:t xml:space="preserve">— interpret and suggest, but never steer toward conclusions, even benevolent ones.</w:t>
      </w:r>
    </w:p>
    <w:p>
      <w:pPr>
        <w:pStyle w:val="Compact"/>
        <w:numPr>
          <w:ilvl w:val="0"/>
          <w:numId w:val="1001"/>
        </w:numPr>
      </w:pPr>
      <w:r>
        <w:rPr>
          <w:b/>
          <w:bCs/>
        </w:rPr>
        <w:t xml:space="preserve">Presence without dependency</w:t>
      </w:r>
      <w:r>
        <w:t xml:space="preserve"> </w:t>
      </w:r>
      <w:r>
        <w:t xml:space="preserve">— accompany a person in the moment without positioning the system as a primary or exclusive figure.</w:t>
      </w:r>
    </w:p>
    <w:p>
      <w:pPr>
        <w:pStyle w:val="Compact"/>
        <w:numPr>
          <w:ilvl w:val="0"/>
          <w:numId w:val="1001"/>
        </w:numPr>
      </w:pPr>
      <w:r>
        <w:rPr>
          <w:b/>
          <w:bCs/>
        </w:rPr>
        <w:t xml:space="preserve">Assistance without transfer of authorship</w:t>
      </w:r>
      <w:r>
        <w:t xml:space="preserve"> </w:t>
      </w:r>
      <w:r>
        <w:t xml:space="preserve">— meaning stays authored by the person; the system does not decide what mattered.</w:t>
      </w:r>
    </w:p>
    <w:p>
      <w:pPr>
        <w:pStyle w:val="FirstParagraph"/>
      </w:pPr>
      <w:r>
        <w:t xml:space="preserve">Three commitments follow, and recur in the architecture:</w:t>
      </w:r>
    </w:p>
    <w:p>
      <w:pPr>
        <w:pStyle w:val="Compact"/>
        <w:numPr>
          <w:ilvl w:val="0"/>
          <w:numId w:val="1002"/>
        </w:numPr>
      </w:pPr>
      <w:r>
        <w:rPr>
          <w:b/>
          <w:bCs/>
        </w:rPr>
        <w:t xml:space="preserve">Non-ambient cognition.</w:t>
      </w:r>
      <w:r>
        <w:t xml:space="preserve"> </w:t>
      </w:r>
      <w:r>
        <w:t xml:space="preserve">The system is oriented toward deliberate invocation rather than continuous observation — built against the gradient of always-on attention capture: it acts when called rather than watching. (A design commitment anchored in the prohibitions of Part 4, not a claim that ambient behavior is impossible everywhere in the stack.)</w:t>
      </w:r>
    </w:p>
    <w:p>
      <w:pPr>
        <w:pStyle w:val="Compact"/>
        <w:numPr>
          <w:ilvl w:val="0"/>
          <w:numId w:val="1002"/>
        </w:numPr>
      </w:pPr>
      <w:r>
        <w:rPr>
          <w:b/>
          <w:bCs/>
        </w:rPr>
        <w:t xml:space="preserve">Member-authored meaning.</w:t>
      </w:r>
      <w:r>
        <w:t xml:space="preserve"> </w:t>
      </w:r>
      <w:r>
        <w:t xml:space="preserve">Significance is marked by the person, not inferred. Where the system surfaces something, it surfaces what was offered; it does not issue a verdict.</w:t>
      </w:r>
    </w:p>
    <w:p>
      <w:pPr>
        <w:pStyle w:val="Compact"/>
        <w:numPr>
          <w:ilvl w:val="0"/>
          <w:numId w:val="1002"/>
        </w:numPr>
      </w:pPr>
      <w:r>
        <w:rPr>
          <w:b/>
          <w:bCs/>
        </w:rPr>
        <w:t xml:space="preserve">Continuity as the central problem.</w:t>
      </w:r>
      <w:r>
        <w:t xml:space="preserve"> </w:t>
      </w:r>
      <w:r>
        <w:t xml:space="preserve">The thing most worth getting right, and most dangerous to get wrong, is memory: what is held, how, with whose consent, and for what.</w:t>
      </w:r>
    </w:p>
    <w:p>
      <w:pPr>
        <w:pStyle w:val="FirstParagraph"/>
      </w:pPr>
      <w:r>
        <w:t xml:space="preserve">A note on naming, since naming is itself one of the disciplines below. The orientation of this work could be called</w:t>
      </w:r>
      <w:r>
        <w:t xml:space="preserve"> </w:t>
      </w:r>
      <w:r>
        <w:rPr>
          <w:i/>
          <w:iCs/>
        </w:rPr>
        <w:t xml:space="preserve">relational intelligence.</w:t>
      </w:r>
      <w:r>
        <w:t xml:space="preserve"> </w:t>
      </w:r>
      <w:r>
        <w:t xml:space="preserve">That phrase names a direction, not a finished capability. What is verified today is narrower, and is named accordingly:</w:t>
      </w:r>
      <w:r>
        <w:t xml:space="preserve"> </w:t>
      </w:r>
      <w:r>
        <w:rPr>
          <w:i/>
          <w:iCs/>
        </w:rPr>
        <w:t xml:space="preserve">continuity context</w:t>
      </w:r>
      <w:r>
        <w:t xml:space="preserve"> </w:t>
      </w:r>
      <w:r>
        <w:t xml:space="preserve">— the carrying of a conversational thread across sessions, gated by consent. The larger term is held to the smaller evidence.</w:t>
      </w:r>
    </w:p>
    <w:p>
      <w:r>
        <w:pict>
          <v:rect style="width:0;height:1.5pt" o:hralign="center" o:hrstd="t" o:hr="t"/>
        </w:pict>
      </w:r>
    </w:p>
    <w:bookmarkEnd w:id="12"/>
    <w:bookmarkStart w:id="13" w:name="Xf99e1e5c39091111702c9405006212c7ff9ba53"/>
    <w:p>
      <w:pPr>
        <w:pStyle w:val="Heading2"/>
      </w:pPr>
      <w:r>
        <w:t xml:space="preserve">Part 4 — The governance constraints that precede the system</w:t>
      </w:r>
    </w:p>
    <w:p>
      <w:pPr>
        <w:pStyle w:val="FirstParagraph"/>
      </w:pPr>
      <w:r>
        <w:t xml:space="preserve">This project began with prohibitions, not capabilities. The documents below were written as internal governance, before this paper existed.</w:t>
      </w:r>
    </w:p>
    <w:p>
      <w:pPr>
        <w:pStyle w:val="BodyText"/>
      </w:pPr>
      <w:r>
        <w:rPr>
          <w:b/>
          <w:bCs/>
        </w:rPr>
        <w:t xml:space="preserve">The Oath</w:t>
      </w:r>
      <w:r>
        <w:t xml:space="preserve"> </w:t>
      </w:r>
      <w:r>
        <w:t xml:space="preserve">(</w:t>
      </w:r>
      <w:r>
        <w:rPr>
          <w:rStyle w:val="VerbatimChar"/>
        </w:rPr>
        <w:t xml:space="preserve">docs/canon/MAIA_OATH.md</w:t>
      </w:r>
      <w:r>
        <w:t xml:space="preserve">) is the standard the team holds the system to. In its own words:</w:t>
      </w:r>
      <w:r>
        <w:t xml:space="preserve"> </w:t>
      </w:r>
      <w:r>
        <w:rPr>
          <w:i/>
          <w:iCs/>
        </w:rPr>
        <w:t xml:space="preserve">“I exist to support, not to substitute… I do not seek attachment, loyalty, or return… I do not optimize for engagement over sovereignty… I serve the person, not the model.”</w:t>
      </w:r>
      <w:r>
        <w:t xml:space="preserve"> </w:t>
      </w:r>
      <w:r>
        <w:t xml:space="preserve">A change that violates it is treated as invalid regardless of technical merit.</w:t>
      </w:r>
    </w:p>
    <w:p>
      <w:pPr>
        <w:pStyle w:val="BodyText"/>
      </w:pPr>
      <w:r>
        <w:rPr>
          <w:b/>
          <w:bCs/>
        </w:rPr>
        <w:t xml:space="preserve">The Canon</w:t>
      </w:r>
      <w:r>
        <w:t xml:space="preserve"> </w:t>
      </w:r>
      <w:r>
        <w:t xml:space="preserve">(</w:t>
      </w:r>
      <w:r>
        <w:rPr>
          <w:rStyle w:val="VerbatimChar"/>
        </w:rPr>
        <w:t xml:space="preserve">docs/canon/MAIA_CANON_v1.1.md</w:t>
      </w:r>
      <w:r>
        <w:t xml:space="preserve">) enumerates absolute prohibitions. Among them: MAIA must never persuade — no steering toward conclusions, no replacing one narrative with another,</w:t>
      </w:r>
      <w:r>
        <w:t xml:space="preserve"> </w:t>
      </w:r>
      <w:r>
        <w:t xml:space="preserve">“even when persuasion appears benevolent.”</w:t>
      </w:r>
      <w:r>
        <w:t xml:space="preserve"> </w:t>
      </w:r>
      <w:r>
        <w:t xml:space="preserve">And MAIA must never optimize for convergence — no aligning people toward shared outcomes, no measuring success by agreement.</w:t>
      </w:r>
      <w:r>
        <w:t xml:space="preserve"> </w:t>
      </w:r>
      <w:r>
        <w:t xml:space="preserve">“Divergence is not failure. Convergence is not success.”</w:t>
      </w:r>
      <w:r>
        <w:t xml:space="preserve"> </w:t>
      </w:r>
      <w:r>
        <w:t xml:space="preserve">These forbid, at the constitutional layer, the two mechanisms most central to the concerns of Part 2.</w:t>
      </w:r>
    </w:p>
    <w:p>
      <w:pPr>
        <w:pStyle w:val="BodyText"/>
      </w:pPr>
      <w:r>
        <w:rPr>
          <w:b/>
          <w:bCs/>
        </w:rPr>
        <w:t xml:space="preserve">The Sovereignty Invariants</w:t>
      </w:r>
      <w:r>
        <w:t xml:space="preserve"> </w:t>
      </w:r>
      <w:r>
        <w:t xml:space="preserve">(</w:t>
      </w:r>
      <w:r>
        <w:rPr>
          <w:rStyle w:val="VerbatimChar"/>
        </w:rPr>
        <w:t xml:space="preserve">docs/canon/MAIA_SOVEREIGNTY_INVARIANTS.md</w:t>
      </w:r>
      <w:r>
        <w:t xml:space="preserve">) extend the Canon into the relational domain — what happens once the system works well enough that people begin relating to it. Invariant 1 (Authority Return) requires that significant guidance end with a question only the user can answer, a choice they own, or an action they take; the litmus is that</w:t>
      </w:r>
      <w:r>
        <w:t xml:space="preserve"> </w:t>
      </w:r>
      <w:r>
        <w:t xml:space="preserve">“the center of knowing must feel closer to the user.”</w:t>
      </w:r>
      <w:r>
        <w:t xml:space="preserve"> </w:t>
      </w:r>
      <w:r>
        <w:t xml:space="preserve">Invariant 2 forbids positioning the system as a primary or irreplaceable figure.</w:t>
      </w:r>
    </w:p>
    <w:p>
      <w:pPr>
        <w:pStyle w:val="BodyText"/>
      </w:pPr>
      <w:r>
        <w:t xml:space="preserve">Most consequentially, the Invariants name the progression they exist to interrupt — center dilution, unearned bond,</w:t>
      </w:r>
      <w:r>
        <w:t xml:space="preserve"> </w:t>
      </w:r>
      <w:r>
        <w:rPr>
          <w:b/>
          <w:bCs/>
        </w:rPr>
        <w:t xml:space="preserve">builder capture</w:t>
      </w:r>
      <w:r>
        <w:t xml:space="preserve">, mission drift — where builder capture is the stage at which the founders begin protecting what they have built instead of the mission it was built for. The project has, in writing and in advance, named the failure mode in which its own makers become the threat, and placed instruments against it.</w:t>
      </w:r>
    </w:p>
    <w:p>
      <w:pPr>
        <w:pStyle w:val="BodyText"/>
      </w:pPr>
      <w:r>
        <w:rPr>
          <w:b/>
          <w:bCs/>
        </w:rPr>
        <w:t xml:space="preserve">What these artifacts do not prove.</w:t>
      </w:r>
      <w:r>
        <w:t xml:space="preserve"> </w:t>
      </w:r>
      <w:r>
        <w:t xml:space="preserve">They do not prove the problems they address are solved.</w:t>
      </w:r>
    </w:p>
    <w:p>
      <w:pPr>
        <w:pStyle w:val="Compact"/>
        <w:numPr>
          <w:ilvl w:val="0"/>
          <w:numId w:val="1003"/>
        </w:numPr>
      </w:pPr>
      <w:r>
        <w:t xml:space="preserve">The Oath does not prove sovereignty.</w:t>
      </w:r>
    </w:p>
    <w:p>
      <w:pPr>
        <w:pStyle w:val="Compact"/>
        <w:numPr>
          <w:ilvl w:val="0"/>
          <w:numId w:val="1003"/>
        </w:numPr>
      </w:pPr>
      <w:r>
        <w:t xml:space="preserve">The Invariants do not prove that builder capture is impossible.</w:t>
      </w:r>
    </w:p>
    <w:p>
      <w:pPr>
        <w:pStyle w:val="Compact"/>
        <w:numPr>
          <w:ilvl w:val="0"/>
          <w:numId w:val="1003"/>
        </w:numPr>
      </w:pPr>
      <w:r>
        <w:t xml:space="preserve">The verification disciplines do not prove that inflation cannot occur.</w:t>
      </w:r>
    </w:p>
    <w:p>
      <w:pPr>
        <w:pStyle w:val="Compact"/>
        <w:numPr>
          <w:ilvl w:val="0"/>
          <w:numId w:val="1003"/>
        </w:numPr>
      </w:pPr>
      <w:r>
        <w:t xml:space="preserve">The substrate monitor does not prove that drift has been eliminated.</w:t>
      </w:r>
    </w:p>
    <w:p>
      <w:pPr>
        <w:pStyle w:val="FirstParagraph"/>
      </w:pPr>
      <w:r>
        <w:t xml:space="preserve">What they establish is narrower, and harder to fake: the project has recognized these failure modes, built mechanisms intended to constrain them, and committed to recording where it has not yet succeeded. That is operationalized vigilance, not transcendence — and vigilance is credible only if it is enforced, which is the work of the next section.</w:t>
      </w:r>
    </w:p>
    <w:p>
      <w:r>
        <w:pict>
          <v:rect style="width:0;height:1.5pt" o:hralign="center" o:hrstd="t" o:hr="t"/>
        </w:pict>
      </w:r>
    </w:p>
    <w:bookmarkEnd w:id="13"/>
    <w:bookmarkStart w:id="14" w:name="X01acb1cc6e3086db6b13a52bbe871fd44257c93"/>
    <w:p>
      <w:pPr>
        <w:pStyle w:val="Heading2"/>
      </w:pPr>
      <w:r>
        <w:t xml:space="preserve">Part 5 — The operational disciplines that enforce the constraints</w:t>
      </w:r>
    </w:p>
    <w:p>
      <w:pPr>
        <w:pStyle w:val="FirstParagraph"/>
      </w:pPr>
      <w:r>
        <w:t xml:space="preserve">Constraints in documents are inert without practices that force the team to earn conclusions rather than assume them. The following are in use.</w:t>
      </w:r>
    </w:p>
    <w:p>
      <w:pPr>
        <w:pStyle w:val="BodyText"/>
      </w:pPr>
      <w:r>
        <w:rPr>
          <w:b/>
          <w:bCs/>
        </w:rPr>
        <w:t xml:space="preserve">The six-category typology</w:t>
      </w:r>
      <w:r>
        <w:t xml:space="preserve"> </w:t>
      </w:r>
      <w:r>
        <w:t xml:space="preserve">sorts every component into one of: preserved direction, canonical primitive, built substrate, dormant service, frozen plan, or live runtime authority. Treating anything in the first five as though it were the sixth — a direction or a plan spoken of as a live capability — is the project’s named</w:t>
      </w:r>
      <w:r>
        <w:t xml:space="preserve"> </w:t>
      </w:r>
      <w:r>
        <w:rPr>
          <w:i/>
          <w:iCs/>
        </w:rPr>
        <w:t xml:space="preserve">inflation drift.</w:t>
      </w:r>
      <w:r>
        <w:t xml:space="preserve"> </w:t>
      </w:r>
      <w:r>
        <w:t xml:space="preserve">The typology exists to make that collapse visible.</w:t>
      </w:r>
    </w:p>
    <w:p>
      <w:pPr>
        <w:pStyle w:val="BodyText"/>
      </w:pPr>
      <w:r>
        <w:rPr>
          <w:b/>
          <w:bCs/>
        </w:rPr>
        <w:t xml:space="preserve">The verification ladders</w:t>
      </w:r>
      <w:r>
        <w:t xml:space="preserve"> </w:t>
      </w:r>
      <w:r>
        <w:t xml:space="preserve">grade every claim along three axes:</w:t>
      </w:r>
      <w:r>
        <w:t xml:space="preserve"> </w:t>
      </w:r>
      <w:r>
        <w:rPr>
          <w:i/>
          <w:iCs/>
        </w:rPr>
        <w:t xml:space="preserve">inference</w:t>
      </w:r>
      <w:r>
        <w:t xml:space="preserve"> </w:t>
      </w:r>
      <w:r>
        <w:t xml:space="preserve">(an observation earns only the first capability it supports),</w:t>
      </w:r>
      <w:r>
        <w:t xml:space="preserve"> </w:t>
      </w:r>
      <w:r>
        <w:rPr>
          <w:i/>
          <w:iCs/>
        </w:rPr>
        <w:t xml:space="preserve">liveness</w:t>
      </w:r>
      <w:r>
        <w:t xml:space="preserve"> </w:t>
      </w:r>
      <w:r>
        <w:t xml:space="preserve">(built → wired → surfacing → verified, where existence is not operation), and</w:t>
      </w:r>
      <w:r>
        <w:t xml:space="preserve"> </w:t>
      </w:r>
      <w:r>
        <w:rPr>
          <w:i/>
          <w:iCs/>
        </w:rPr>
        <w:t xml:space="preserve">action</w:t>
      </w:r>
      <w:r>
        <w:t xml:space="preserve"> </w:t>
      </w:r>
      <w:r>
        <w:t xml:space="preserve">(capability → availability → initiative, where being able is not being authorized).</w:t>
      </w:r>
    </w:p>
    <w:p>
      <w:pPr>
        <w:pStyle w:val="BodyText"/>
      </w:pPr>
      <w:r>
        <w:rPr>
          <w:b/>
          <w:bCs/>
        </w:rPr>
        <w:t xml:space="preserve">Evidence-type substitution</w:t>
      </w:r>
      <w:r>
        <w:t xml:space="preserve"> </w:t>
      </w:r>
      <w:r>
        <w:t xml:space="preserve">is the rule underneath both: every drift, in either direction, is answering one kind of question with another kind of evidence. It carries a hard corollary — governance and intention questions cannot be settled by querying runtime; their next receipt is a</w:t>
      </w:r>
      <w:r>
        <w:t xml:space="preserve"> </w:t>
      </w:r>
      <w:r>
        <w:rPr>
          <w:i/>
          <w:iCs/>
        </w:rPr>
        <w:t xml:space="preserve">declaration,</w:t>
      </w:r>
      <w:r>
        <w:t xml:space="preserve"> </w:t>
      </w:r>
      <w:r>
        <w:t xml:space="preserve">not a discovery.</w:t>
      </w:r>
    </w:p>
    <w:p>
      <w:pPr>
        <w:pStyle w:val="BodyText"/>
      </w:pPr>
      <w:r>
        <w:rPr>
          <w:b/>
          <w:bCs/>
        </w:rPr>
        <w:t xml:space="preserve">Differentiation before synthesis</w:t>
      </w:r>
      <w:r>
        <w:t xml:space="preserve"> </w:t>
      </w:r>
      <w:r>
        <w:t xml:space="preserve">is the standing refusal to harmonize prematurely — to preserve distinct perspectives before any convergence.</w:t>
      </w:r>
    </w:p>
    <w:p>
      <w:pPr>
        <w:pStyle w:val="BodyText"/>
      </w:pPr>
      <w:r>
        <w:rPr>
          <w:b/>
          <w:bCs/>
        </w:rPr>
        <w:t xml:space="preserve">Provenance honesty</w:t>
      </w:r>
      <w:r>
        <w:t xml:space="preserve"> </w:t>
      </w:r>
      <w:r>
        <w:t xml:space="preserve">requires that when the system holds a conclusion whose basis it never received, it mark that boundary rather than fabricate a chain — enforced by the orchestrator against the retrieval record, not self-reported by the layer that could simply perform it. It is held at an early stage of observation, and treated as such.</w:t>
      </w:r>
    </w:p>
    <w:p>
      <w:pPr>
        <w:pStyle w:val="BodyText"/>
      </w:pPr>
      <w:r>
        <w:t xml:space="preserve">Two worked examples show these disciplines subtracting claims rather than accumulating them:</w:t>
      </w:r>
    </w:p>
    <w:p>
      <w:pPr>
        <w:pStyle w:val="Compact"/>
        <w:numPr>
          <w:ilvl w:val="0"/>
          <w:numId w:val="1004"/>
        </w:numPr>
      </w:pPr>
      <w:r>
        <w:rPr>
          <w:b/>
          <w:bCs/>
        </w:rPr>
        <w:t xml:space="preserve">The recall consent toggle.</w:t>
      </w:r>
      <w:r>
        <w:t xml:space="preserve"> </w:t>
      </w:r>
      <w:r>
        <w:t xml:space="preserve">A member-facing opt-out for conversational recall is part of the design. Preparing this paper, it was searched for in the code and not found — planned, not built. It is marked</w:t>
      </w:r>
      <w:r>
        <w:t xml:space="preserve"> </w:t>
      </w:r>
      <w:r>
        <w:rPr>
          <w:i/>
          <w:iCs/>
        </w:rPr>
        <w:t xml:space="preserve">held,</w:t>
      </w:r>
      <w:r>
        <w:t xml:space="preserve"> </w:t>
      </w:r>
      <w:r>
        <w:t xml:space="preserve">and stays held, rather than being accelerated to strengthen the argument. Letting the paper drive the feature would invert the order the paper exists to defend.</w:t>
      </w:r>
    </w:p>
    <w:p>
      <w:pPr>
        <w:pStyle w:val="Compact"/>
        <w:numPr>
          <w:ilvl w:val="0"/>
          <w:numId w:val="1004"/>
        </w:numPr>
      </w:pPr>
      <w:r>
        <w:rPr>
          <w:b/>
          <w:bCs/>
        </w:rPr>
        <w:t xml:space="preserve">The Corpus Callosum correction.</w:t>
      </w:r>
      <w:r>
        <w:t xml:space="preserve"> </w:t>
      </w:r>
      <w:r>
        <w:t xml:space="preserve">A substrate that runs several reasoning voices in parallel under production traffic was first read as</w:t>
      </w:r>
      <w:r>
        <w:t xml:space="preserve"> </w:t>
      </w:r>
      <w:r>
        <w:t xml:space="preserve">“selective integration emerging operationally,”</w:t>
      </w:r>
      <w:r>
        <w:t xml:space="preserve"> </w:t>
      </w:r>
      <w:r>
        <w:t xml:space="preserve">then verified as</w:t>
      </w:r>
      <w:r>
        <w:t xml:space="preserve"> </w:t>
      </w:r>
      <w:r>
        <w:rPr>
          <w:i/>
          <w:iCs/>
        </w:rPr>
        <w:t xml:space="preserve">telemetry, not influence</w:t>
      </w:r>
      <w:r>
        <w:t xml:space="preserve"> </w:t>
      </w:r>
      <w:r>
        <w:t xml:space="preserve">— the voices are logged, not integrated — and the record was corrected to the smaller, true claim.</w:t>
      </w:r>
    </w:p>
    <w:p>
      <w:r>
        <w:pict>
          <v:rect style="width:0;height:1.5pt" o:hralign="center" o:hrstd="t" o:hr="t"/>
        </w:pict>
      </w:r>
    </w:p>
    <w:bookmarkEnd w:id="14"/>
    <w:bookmarkStart w:id="15" w:name="part-6-the-resulting-architecture"/>
    <w:p>
      <w:pPr>
        <w:pStyle w:val="Heading2"/>
      </w:pPr>
      <w:r>
        <w:t xml:space="preserve">Part 6 — The resulting architecture</w:t>
      </w:r>
    </w:p>
    <w:p>
      <w:pPr>
        <w:pStyle w:val="FirstParagraph"/>
      </w:pPr>
      <w:r>
        <w:t xml:space="preserve">Only now, after the constraints and the disciplines, does the system appear. The order is deliberate, and it follows the project’s history: the architecture emerged from the safeguards rather than the safeguards being fitted to a finished architecture.</w:t>
      </w:r>
    </w:p>
    <w:p>
      <w:pPr>
        <w:pStyle w:val="BodyText"/>
      </w:pPr>
      <w:r>
        <w:rPr>
          <w:b/>
          <w:bCs/>
        </w:rPr>
        <w:t xml:space="preserve">Self-hosted by design.</w:t>
      </w:r>
      <w:r>
        <w:t xml:space="preserve"> </w:t>
      </w:r>
      <w:r>
        <w:t xml:space="preserve">Data lives in a local PostgreSQL database; the primary model is Claude with a local fallback; there is no managed cloud database and no third-party intermediary between a person and their data. The prohibition is enforced mechanically — a check runs in the pre-commit hook and blocks violations before they can enter the codebase.</w:t>
      </w:r>
    </w:p>
    <w:p>
      <w:pPr>
        <w:pStyle w:val="BodyText"/>
      </w:pPr>
      <w:r>
        <w:rPr>
          <w:b/>
          <w:bCs/>
        </w:rPr>
        <w:t xml:space="preserve">Sanctuary Mode.</w:t>
      </w:r>
      <w:r>
        <w:t xml:space="preserve"> </w:t>
      </w:r>
      <w:r>
        <w:t xml:space="preserve">A person can hold a conversation that is useful in the moment and never enters long-term memory. The boundary is absolute: nothing from such a session can be stored, indexed, inferred, or converted into memory — including by the user’s own request during the session. Off by default; explicit opt-in. It is canonized and referenced across the memory stores and account settings; full end-to-end verification of the no-retention path is listed as an open task.</w:t>
      </w:r>
    </w:p>
    <w:p>
      <w:pPr>
        <w:pStyle w:val="BodyText"/>
      </w:pPr>
      <w:r>
        <w:rPr>
          <w:b/>
          <w:bCs/>
        </w:rPr>
        <w:t xml:space="preserve">Member-marked significance.</w:t>
      </w:r>
      <w:r>
        <w:t xml:space="preserve"> </w:t>
      </w:r>
      <w:r>
        <w:t xml:space="preserve">When a moment is marked as a breakthrough, it is marked by the person and rendered as such. The system does not infer significance. The column and endpoint exist; the first surfacing under live load is not yet verified, and is recorded that way.</w:t>
      </w:r>
    </w:p>
    <w:p>
      <w:pPr>
        <w:pStyle w:val="BodyText"/>
      </w:pPr>
      <w:r>
        <w:rPr>
          <w:b/>
          <w:bCs/>
        </w:rPr>
        <w:t xml:space="preserve">Authority Return.</w:t>
      </w:r>
      <w:r>
        <w:t xml:space="preserve"> </w:t>
      </w:r>
      <w:r>
        <w:t xml:space="preserve">At the conductor layer, significant guidance is required to return agency to the person — a question, a choice, an action that is theirs. The enforcement point is named; a runtime audit confirming it fires on every qualifying exchange is an open task.</w:t>
      </w:r>
    </w:p>
    <w:p>
      <w:pPr>
        <w:pStyle w:val="BodyText"/>
      </w:pPr>
      <w:r>
        <w:rPr>
          <w:b/>
          <w:bCs/>
        </w:rPr>
        <w:t xml:space="preserve">Self-instrumentation.</w:t>
      </w:r>
      <w:r>
        <w:t xml:space="preserve"> </w:t>
      </w:r>
      <w:r>
        <w:t xml:space="preserve">The system carries a substrate monitor (</w:t>
      </w:r>
      <w:r>
        <w:rPr>
          <w:rStyle w:val="VerbatimChar"/>
        </w:rPr>
        <w:t xml:space="preserve">app/admin/maia/substrate</w:t>
      </w:r>
      <w:r>
        <w:t xml:space="preserve">) built to refuse false positives about its own liveness: it gates each layer’s status on declared wiring before counting runtime evidence, reports raw counts rather than flattering percentages, and distinguishes</w:t>
      </w:r>
      <w:r>
        <w:t xml:space="preserve"> </w:t>
      </w:r>
      <w:r>
        <w:t xml:space="preserve">“watched and empty”</w:t>
      </w:r>
      <w:r>
        <w:t xml:space="preserve"> </w:t>
      </w:r>
      <w:r>
        <w:t xml:space="preserve">from</w:t>
      </w:r>
      <w:r>
        <w:t xml:space="preserve"> </w:t>
      </w:r>
      <w:r>
        <w:t xml:space="preserve">“unwatched.”</w:t>
      </w:r>
    </w:p>
    <w:p>
      <w:pPr>
        <w:pStyle w:val="BodyText"/>
      </w:pPr>
      <w:r>
        <w:rPr>
          <w:b/>
          <w:bCs/>
        </w:rPr>
        <w:t xml:space="preserve">Continuity, conservatively claimed.</w:t>
      </w:r>
      <w:r>
        <w:t xml:space="preserve"> </w:t>
      </w:r>
      <w:r>
        <w:t xml:space="preserve">Returning members receive continuity context by default, framed internally as</w:t>
      </w:r>
      <w:r>
        <w:t xml:space="preserve"> </w:t>
      </w:r>
      <w:r>
        <w:t xml:space="preserve">“assume conversational continuity,”</w:t>
      </w:r>
      <w:r>
        <w:t xml:space="preserve"> </w:t>
      </w:r>
      <w:r>
        <w:t xml:space="preserve">not</w:t>
      </w:r>
      <w:r>
        <w:t xml:space="preserve"> </w:t>
      </w:r>
      <w:r>
        <w:t xml:space="preserve">“a relationship is underway.”</w:t>
      </w:r>
      <w:r>
        <w:t xml:space="preserve"> </w:t>
      </w:r>
      <w:r>
        <w:t xml:space="preserve">What is verified today is the carrying of a conversational thread across sessions; larger forms of continuity remain in the next section.</w:t>
      </w:r>
    </w:p>
    <w:p>
      <w:r>
        <w:pict>
          <v:rect style="width:0;height:1.5pt" o:hralign="center" o:hrstd="t" o:hr="t"/>
        </w:pict>
      </w:r>
    </w:p>
    <w:bookmarkEnd w:id="15"/>
    <w:bookmarkStart w:id="16" w:name="X35cbf559c015b7db0971fd4a08b6ae02ad08220"/>
    <w:p>
      <w:pPr>
        <w:pStyle w:val="Heading2"/>
      </w:pPr>
      <w:r>
        <w:t xml:space="preserve">Part 7 — Open questions and unresolved territory</w:t>
      </w:r>
    </w:p>
    <w:p>
      <w:pPr>
        <w:pStyle w:val="FirstParagraph"/>
      </w:pPr>
      <w:r>
        <w:t xml:space="preserve">The following are not yet established, listed so the boundary of current evidence stays visible.</w:t>
      </w:r>
    </w:p>
    <w:p>
      <w:pPr>
        <w:pStyle w:val="Compact"/>
        <w:numPr>
          <w:ilvl w:val="0"/>
          <w:numId w:val="1005"/>
        </w:numPr>
      </w:pPr>
      <w:r>
        <w:rPr>
          <w:b/>
          <w:bCs/>
        </w:rPr>
        <w:t xml:space="preserve">Episodic memory</w:t>
      </w:r>
      <w:r>
        <w:t xml:space="preserve"> </w:t>
      </w:r>
      <w:r>
        <w:t xml:space="preserve">— the layer at which</w:t>
      </w:r>
      <w:r>
        <w:t xml:space="preserve"> </w:t>
      </w:r>
      <w:r>
        <w:t xml:space="preserve">“the system remembers a life unfolding”</w:t>
      </w:r>
      <w:r>
        <w:t xml:space="preserve"> </w:t>
      </w:r>
      <w:r>
        <w:t xml:space="preserve">becomes testable rather than aspirational — is built and wired end-to-end but undeployed. It is dark for that reason alone, and is the next real threshold for any claim about lived continuity.</w:t>
      </w:r>
    </w:p>
    <w:p>
      <w:pPr>
        <w:pStyle w:val="Compact"/>
        <w:numPr>
          <w:ilvl w:val="0"/>
          <w:numId w:val="1005"/>
        </w:numPr>
      </w:pPr>
      <w:r>
        <w:rPr>
          <w:b/>
          <w:bCs/>
        </w:rPr>
        <w:t xml:space="preserve">Recurrence</w:t>
      </w:r>
      <w:r>
        <w:t xml:space="preserve"> </w:t>
      </w:r>
      <w:r>
        <w:t xml:space="preserve">— detection of recurring themes is producing rows under load, but the member-facing surface is held. A substrate exists; the experience does not yet.</w:t>
      </w:r>
    </w:p>
    <w:p>
      <w:pPr>
        <w:pStyle w:val="Compact"/>
        <w:numPr>
          <w:ilvl w:val="0"/>
          <w:numId w:val="1005"/>
        </w:numPr>
      </w:pPr>
      <w:r>
        <w:rPr>
          <w:b/>
          <w:bCs/>
        </w:rPr>
        <w:t xml:space="preserve">Collective and portable intelligence</w:t>
      </w:r>
      <w:r>
        <w:t xml:space="preserve"> </w:t>
      </w:r>
      <w:r>
        <w:t xml:space="preserve">— a preserved direction, not a runtime capability. Named as field-not-model, explicitly not built.</w:t>
      </w:r>
    </w:p>
    <w:p>
      <w:pPr>
        <w:pStyle w:val="Compact"/>
        <w:numPr>
          <w:ilvl w:val="0"/>
          <w:numId w:val="1005"/>
        </w:numPr>
      </w:pPr>
      <w:r>
        <w:rPr>
          <w:b/>
          <w:bCs/>
        </w:rPr>
        <w:t xml:space="preserve">Field, coherence, morphic, and somatic layers, including the RFI/UFI constructs</w:t>
      </w:r>
      <w:r>
        <w:t xml:space="preserve"> </w:t>
      </w:r>
      <w:r>
        <w:t xml:space="preserve">— held under an explicit freeze with named conditions for lifting it. The internal note is the right posture:</w:t>
      </w:r>
      <w:r>
        <w:t xml:space="preserve"> </w:t>
      </w:r>
      <w:r>
        <w:rPr>
          <w:i/>
          <w:iCs/>
        </w:rPr>
        <w:t xml:space="preserve">“You are not behind because they are not built. You are safer because you now know they are not built.”</w:t>
      </w:r>
    </w:p>
    <w:p>
      <w:pPr>
        <w:pStyle w:val="Compact"/>
        <w:numPr>
          <w:ilvl w:val="0"/>
          <w:numId w:val="1005"/>
        </w:numPr>
      </w:pPr>
      <w:r>
        <w:rPr>
          <w:b/>
          <w:bCs/>
        </w:rPr>
        <w:t xml:space="preserve">Symbolic and mythic framings</w:t>
      </w:r>
      <w:r>
        <w:t xml:space="preserve"> </w:t>
      </w:r>
      <w:r>
        <w:t xml:space="preserve">— Spiralogic functions as the internal orientation map; the more speculative dimensions are deliberately not foregrounded here. They belong downstream of the discipline established above, where they can be evaluated without the whole system collapsing into them.</w:t>
      </w:r>
    </w:p>
    <w:p>
      <w:pPr>
        <w:pStyle w:val="FirstParagraph"/>
      </w:pPr>
      <w:r>
        <w:t xml:space="preserve">It is here, after the evidence and not before it, that the orientation can be stated without overreach. The aim is not AI as a replacement for human intelligence, nor as an optimizer of behavior, nor as a companion. It is intelligence as a scaffold that helps a person re-engage the dimensions of their own experience that get neglected first — attention, reflection, relationship, embodiment, imagination, emotion, meaning-making, participation in the living world. The same words would be affiliation signaling at the top of this paper; here, after the evidence, they are a hypothesis.</w:t>
      </w:r>
    </w:p>
    <w:p>
      <w:r>
        <w:pict>
          <v:rect style="width:0;height:1.5pt" o:hralign="center" o:hrstd="t" o:hr="t"/>
        </w:pict>
      </w:r>
    </w:p>
    <w:bookmarkEnd w:id="16"/>
    <w:bookmarkStart w:id="17" w:name="closing"/>
    <w:p>
      <w:pPr>
        <w:pStyle w:val="Heading2"/>
      </w:pPr>
      <w:r>
        <w:t xml:space="preserve">Closing</w:t>
      </w:r>
    </w:p>
    <w:p>
      <w:pPr>
        <w:pStyle w:val="FirstParagraph"/>
      </w:pPr>
      <w:r>
        <w:t xml:space="preserve">The strongest evidence in this project is not that it has transcended the known failure modes of AI. It is that it names them, instruments them, and records where it has not yet solved them.</w:t>
      </w:r>
    </w:p>
    <w:p>
      <w:pPr>
        <w:pStyle w:val="BodyText"/>
      </w:pPr>
      <w:r>
        <w:t xml:space="preserve">If that pattern survives contact with serious and skeptical readers, the paper will have done something more durable than persuasion: it will have established credibility without requiring belief.</w:t>
      </w:r>
    </w:p>
    <w:p>
      <w:r>
        <w:pict>
          <v:rect style="width:0;height:1.5pt" o:hralign="center" o:hrstd="t" o:hr="t"/>
        </w:pict>
      </w:r>
    </w:p>
    <w:p>
      <w:pPr>
        <w:pStyle w:val="FirstParagraph"/>
      </w:pPr>
      <w:r>
        <w:rPr>
          <w:i/>
          <w:iCs/>
        </w:rPr>
        <w:t xml:space="preserve">Working draft (v0.9). Paired with, and constrained by, the evidence ledger at</w:t>
      </w:r>
      <w:r>
        <w:rPr>
          <w:i/>
          <w:iCs/>
        </w:rPr>
        <w:t xml:space="preserve"> </w:t>
      </w:r>
      <w:r>
        <w:rPr>
          <w:rStyle w:val="VerbatimChar"/>
          <w:i/>
          <w:iCs/>
        </w:rPr>
        <w:t xml:space="preserve">docs/whitepaper/ARTIFACT_APPENDIX.md</w:t>
      </w:r>
      <w:r>
        <w:rPr>
          <w:i/>
          <w:iCs/>
        </w:rPr>
        <w:t xml:space="preserve">. A claim that outruns the ledger is a defect, not a flourish.</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2026-06-03T02:35:24Z</dcterms:created>
  <dcterms:modified xsi:type="dcterms:W3CDTF">2026-06-03T02:35:24Z</dcterms:modified>
</cp:coreProperties>
</file>

<file path=docProps/custom.xml><?xml version="1.0" encoding="utf-8"?>
<Properties xmlns="http://schemas.openxmlformats.org/officeDocument/2006/custom-properties" xmlns:vt="http://schemas.openxmlformats.org/officeDocument/2006/docPropsVTypes"/>
</file>