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1A6B5C"/>
          <w:sz w:val="48"/>
          <w:szCs w:val="48"/>
        </w:rPr>
        <w:t xml:space="preserve">ANEXOS</w:t>
      </w:r>
    </w:p>
    <w:p>
      <w:pPr>
        <w:spacing w:after="80"/>
        <w:jc w:val="center"/>
      </w:pPr>
      <w:r>
        <w:rPr>
          <w:rFonts w:ascii="Times New Roman" w:cs="Times New Roman" w:eastAsia="Times New Roman" w:hAnsi="Times New Roman"/>
          <w:i/>
          <w:iCs/>
          <w:color w:val="1A1A2E"/>
          <w:sz w:val="28"/>
          <w:szCs w:val="28"/>
        </w:rPr>
        <w:t xml:space="preserve">Tesis Doctoral — Sistema Atenea AI</w:t>
      </w:r>
    </w:p>
    <w:p>
      <w:pPr>
        <w:spacing w:after="80"/>
        <w:jc w:val="center"/>
      </w:pPr>
      <w:r>
        <w:rPr>
          <w:rFonts w:ascii="Times New Roman" w:cs="Times New Roman" w:eastAsia="Times New Roman" w:hAnsi="Times New Roman"/>
          <w:color w:val="555555"/>
          <w:sz w:val="22"/>
          <w:szCs w:val="22"/>
        </w:rPr>
        <w:t xml:space="preserve">Luis Francisco Pardo Pera | DTE-UAQ | 2026</w:t>
      </w:r>
    </w:p>
    <w:p>
      <w:pPr>
        <w:spacing w:after="400"/>
        <w:jc w:val="center"/>
      </w:pPr>
      <w:r>
        <w:rPr>
          <w:rFonts w:ascii="Times New Roman" w:cs="Times New Roman" w:eastAsia="Times New Roman" w:hAnsi="Times New Roman"/>
          <w:i/>
          <w:iCs/>
          <w:color w:val="777777"/>
          <w:sz w:val="22"/>
          <w:szCs w:val="22"/>
        </w:rPr>
        <w:t xml:space="preserve">Sistemas Instrumentales Psicotécnicos para la detección temprana del riesgo de abandono escolar</w:t>
      </w:r>
    </w:p>
    <w:p>
      <w:pPr>
        <w:pBdr>
          <w:bottom w:val="single" w:color="1A6B5C" w:sz="4" w:space="2"/>
        </w:pBdr>
        <w:spacing w:after="80" w:before="200"/>
      </w:pPr>
      <w:r>
        <w:rPr>
          <w:rFonts w:ascii="Times New Roman" w:cs="Times New Roman" w:eastAsia="Times New Roman" w:hAnsi="Times New Roman"/>
          <w:b/>
          <w:bCs/>
          <w:color w:val="1A6B5C"/>
          <w:sz w:val="26"/>
          <w:szCs w:val="26"/>
        </w:rPr>
        <w:t xml:space="preserve">Índice de Anexos</w:t>
      </w:r>
    </w:p>
    <w:p>
      <w:pPr>
        <w:spacing w:after="120" w:before="0" w:line="360"/>
        <w:ind/>
        <w:jc w:val="both"/>
      </w:pPr>
      <w:r>
        <w:rPr>
          <w:rFonts w:ascii="Times New Roman" w:cs="Times New Roman" w:eastAsia="Times New Roman" w:hAnsi="Times New Roman"/>
          <w:sz w:val="24"/>
          <w:szCs w:val="24"/>
        </w:rPr>
        <w:t xml:space="preserve">Anexo A — Instrumento de Evaluación Psicoemocional SIP (versión validada, 80 ítems)</w:t>
      </w:r>
    </w:p>
    <w:p>
      <w:pPr>
        <w:spacing w:after="120" w:before="0" w:line="360"/>
        <w:ind/>
        <w:jc w:val="both"/>
      </w:pPr>
      <w:r>
        <w:rPr>
          <w:rFonts w:ascii="Times New Roman" w:cs="Times New Roman" w:eastAsia="Times New Roman" w:hAnsi="Times New Roman"/>
          <w:sz w:val="24"/>
          <w:szCs w:val="24"/>
        </w:rPr>
        <w:t xml:space="preserve">Anexo B — Arquitectura del Sistema Atenea AI: capas, módulos y parámetros</w:t>
      </w:r>
    </w:p>
    <w:p>
      <w:pPr>
        <w:spacing w:after="120" w:before="0" w:line="360"/>
        <w:ind/>
        <w:jc w:val="both"/>
      </w:pPr>
      <w:r>
        <w:rPr>
          <w:rFonts w:ascii="Times New Roman" w:cs="Times New Roman" w:eastAsia="Times New Roman" w:hAnsi="Times New Roman"/>
          <w:sz w:val="24"/>
          <w:szCs w:val="24"/>
        </w:rPr>
        <w:t xml:space="preserve">Anexo C — Algoritmos del Stacking Ensemble: descripción técnica y parámetros</w:t>
      </w:r>
    </w:p>
    <w:p>
      <w:pPr>
        <w:pageBreakBefore/>
        <w:spacing w:after="200" w:before="0"/>
      </w:pPr>
      <w:r>
        <w:rPr>
          <w:rFonts w:ascii="Times New Roman" w:cs="Times New Roman" w:eastAsia="Times New Roman" w:hAnsi="Times New Roman"/>
          <w:b/>
          <w:bCs/>
          <w:color w:val="1A6B5C"/>
          <w:sz w:val="36"/>
          <w:szCs w:val="36"/>
        </w:rPr>
        <w:t xml:space="preserve">ANEXO A</w:t>
      </w:r>
      <w:r>
        <w:rPr>
          <w:rFonts w:ascii="Times New Roman" w:cs="Times New Roman" w:eastAsia="Times New Roman" w:hAnsi="Times New Roman"/>
          <w:color w:val="AAAAAA"/>
          <w:sz w:val="28"/>
          <w:szCs w:val="28"/>
        </w:rPr>
        <w:t xml:space="preserve">  |  </w:t>
      </w:r>
      <w:r>
        <w:rPr>
          <w:rFonts w:ascii="Times New Roman" w:cs="Times New Roman" w:eastAsia="Times New Roman" w:hAnsi="Times New Roman"/>
          <w:b/>
          <w:bCs/>
          <w:color w:val="1A1A2E"/>
          <w:sz w:val="28"/>
          <w:szCs w:val="28"/>
        </w:rPr>
        <w:t xml:space="preserve">Instrumento de Evaluación Psicoemocional SIP</w:t>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A.1 — Descripción general del instrumento</w:t>
      </w:r>
    </w:p>
    <w:p>
      <w:pPr>
        <w:spacing w:after="120" w:before="0" w:line="360"/>
        <w:ind/>
        <w:jc w:val="both"/>
      </w:pPr>
      <w:r>
        <w:rPr>
          <w:rFonts w:ascii="Times New Roman" w:cs="Times New Roman" w:eastAsia="Times New Roman" w:hAnsi="Times New Roman"/>
          <w:sz w:val="24"/>
          <w:szCs w:val="24"/>
        </w:rPr>
        <w:t xml:space="preserve">El instrumento del Sistema Instrumental Psicotécnico (SIP) es un cuestionario de 80 ítems diseñado para evaluar variables psicoemocionales que inciden en el riesgo de deserción escolar en estudiantes de nivel superior. Fue desarrollado siguiendo el proceso de investigación basada en diseño (IBD) y sometido a validación por juicio de expertos en psicología educativa.</w:t>
      </w:r>
    </w:p>
    <w:p>
      <w:pPr>
        <w:spacing w:after="120" w:before="0" w:line="360"/>
        <w:ind/>
        <w:jc w:val="both"/>
      </w:pPr>
      <w:r>
        <w:rPr>
          <w:rFonts w:ascii="Times New Roman" w:cs="Times New Roman" w:eastAsia="Times New Roman" w:hAnsi="Times New Roman"/>
          <w:sz w:val="24"/>
          <w:szCs w:val="24"/>
        </w:rPr>
        <w:t xml:space="preserve">El instrumento utiliza una escala Likert de 5 puntos: 1 = Nunca / Totalmente en desacuerdo; 2 = Casi nunca / En desacuerdo; 3 = A veces / Ni de acuerdo ni en desacuerdo; 4 = Casi siempre / De acuerdo; 5 = Siempre / Totalmente de acuerdo. El 56% de los ítems posee codificación inversa (↑) para controlar la aquiescencia; los ítems directos se codifican (↓).</w:t>
      </w:r>
    </w:p>
    <w:p>
      <w:pPr>
        <w:spacing w:after="0" w:before="0"/>
      </w:pPr>
      <w:r>
        <w:rPr>
          <w:rFonts w:ascii="Times New Roman" w:cs="Times New Roman" w:eastAsia="Times New Roman" w:hAnsi="Times New Roman"/>
          <w:sz w:val="4"/>
          <w:szCs w:val="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700"/>
        <w:gridCol w:w="700"/>
        <w:gridCol w:w="2470"/>
      </w:tblGrid>
      <w:tr>
        <w:trPr>
          <w:tblHeader/>
        </w:trPr>
        <w:tc>
          <w:tcPr>
            <w:tcW w:type="dxa" w:w="4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FFFFFF"/>
                <w:sz w:val="20"/>
                <w:szCs w:val="20"/>
              </w:rPr>
              <w:t xml:space="preserve">#</w:t>
            </w:r>
          </w:p>
        </w:tc>
        <w:tc>
          <w:tcPr>
            <w:tcW w:type="dxa" w:w="26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FFFFFF"/>
                <w:sz w:val="20"/>
                <w:szCs w:val="20"/>
              </w:rPr>
              <w:t xml:space="preserve">Dimensión</w:t>
            </w:r>
          </w:p>
        </w:tc>
        <w:tc>
          <w:tcPr>
            <w:tcW w:type="dxa" w:w="22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FFFFFF"/>
                <w:sz w:val="20"/>
                <w:szCs w:val="20"/>
              </w:rPr>
              <w:t xml:space="preserve">Constructos evaluados</w:t>
            </w:r>
          </w:p>
        </w:tc>
        <w:tc>
          <w:tcPr>
            <w:tcW w:type="dxa" w:w="7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FFFFFF"/>
                <w:sz w:val="20"/>
                <w:szCs w:val="20"/>
              </w:rPr>
              <w:t xml:space="preserve">Ítems</w:t>
            </w:r>
          </w:p>
        </w:tc>
        <w:tc>
          <w:tcPr>
            <w:tcW w:type="dxa" w:w="7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FFFFFF"/>
                <w:sz w:val="20"/>
                <w:szCs w:val="20"/>
              </w:rPr>
              <w:t xml:space="preserve">Inv.</w:t>
            </w:r>
          </w:p>
        </w:tc>
        <w:tc>
          <w:tcPr>
            <w:tcW w:type="dxa" w:w="247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FFFFFF"/>
                <w:sz w:val="20"/>
                <w:szCs w:val="20"/>
              </w:rPr>
              <w:t xml:space="preserve">Referentes teóricos principales</w:t>
            </w:r>
          </w:p>
        </w:tc>
      </w:tr>
      <w:tr>
        <w:tc>
          <w:tcPr>
            <w:tcW w:type="dxa" w:w="4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D1</w:t>
            </w:r>
          </w:p>
        </w:tc>
        <w:tc>
          <w:tcPr>
            <w:tcW w:type="dxa" w:w="26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Bienestar Emocional</w:t>
            </w:r>
          </w:p>
        </w:tc>
        <w:tc>
          <w:tcPr>
            <w:tcW w:type="dxa" w:w="22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Salud mental general, regulación emocional, burnout académico</w:t>
            </w:r>
          </w:p>
        </w:tc>
        <w:tc>
          <w:tcPr>
            <w:tcW w:type="dxa" w:w="7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13</w:t>
            </w:r>
          </w:p>
        </w:tc>
        <w:tc>
          <w:tcPr>
            <w:tcW w:type="dxa" w:w="7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w:t>
            </w:r>
          </w:p>
        </w:tc>
        <w:tc>
          <w:tcPr>
            <w:tcW w:type="dxa" w:w="24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7"/>
                <w:szCs w:val="17"/>
              </w:rPr>
              <w:t xml:space="preserve">Gross (1998); Schaufeli et al. (2002); Álvarez-Pérez &amp; López-Aguilar (2021)</w:t>
            </w:r>
          </w:p>
        </w:tc>
      </w:tr>
      <w:tr>
        <w:tc>
          <w:tcPr>
            <w:tcW w:type="dxa" w:w="4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D2</w:t>
            </w:r>
          </w:p>
        </w:tc>
        <w:tc>
          <w:tcPr>
            <w:tcW w:type="dxa" w:w="26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Autopercepción y Autoconcepto</w:t>
            </w:r>
          </w:p>
        </w:tc>
        <w:tc>
          <w:tcPr>
            <w:tcW w:type="dxa" w:w="22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Autoestima académica, autoconcepto multidimensional, autoeficacia</w:t>
            </w:r>
          </w:p>
        </w:tc>
        <w:tc>
          <w:tcPr>
            <w:tcW w:type="dxa" w:w="7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13</w:t>
            </w:r>
          </w:p>
        </w:tc>
        <w:tc>
          <w:tcPr>
            <w:tcW w:type="dxa" w:w="7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8</w:t>
            </w:r>
          </w:p>
        </w:tc>
        <w:tc>
          <w:tcPr>
            <w:tcW w:type="dxa" w:w="247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17"/>
                <w:szCs w:val="17"/>
              </w:rPr>
              <w:t xml:space="preserve">Bandura (1977); Fitts (1965); Robbins et al. (2004)</w:t>
            </w:r>
          </w:p>
        </w:tc>
      </w:tr>
      <w:tr>
        <w:tc>
          <w:tcPr>
            <w:tcW w:type="dxa" w:w="4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D3</w:t>
            </w:r>
          </w:p>
        </w:tc>
        <w:tc>
          <w:tcPr>
            <w:tcW w:type="dxa" w:w="26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Motivación y Compromiso Académico</w:t>
            </w:r>
          </w:p>
        </w:tc>
        <w:tc>
          <w:tcPr>
            <w:tcW w:type="dxa" w:w="22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Motivación intrínseca/extrínseca, engagement, metas y expectativas</w:t>
            </w:r>
          </w:p>
        </w:tc>
        <w:tc>
          <w:tcPr>
            <w:tcW w:type="dxa" w:w="7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12</w:t>
            </w:r>
          </w:p>
        </w:tc>
        <w:tc>
          <w:tcPr>
            <w:tcW w:type="dxa" w:w="7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w:t>
            </w:r>
          </w:p>
        </w:tc>
        <w:tc>
          <w:tcPr>
            <w:tcW w:type="dxa" w:w="24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7"/>
                <w:szCs w:val="17"/>
              </w:rPr>
              <w:t xml:space="preserve">Ryan &amp; Deci (2000); Kuh et al. (2008); Eccles &amp; Wigfield (2002)</w:t>
            </w:r>
          </w:p>
        </w:tc>
      </w:tr>
      <w:tr>
        <w:tc>
          <w:tcPr>
            <w:tcW w:type="dxa" w:w="4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D4</w:t>
            </w:r>
          </w:p>
        </w:tc>
        <w:tc>
          <w:tcPr>
            <w:tcW w:type="dxa" w:w="26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Resiliencia y Afrontamiento</w:t>
            </w:r>
          </w:p>
        </w:tc>
        <w:tc>
          <w:tcPr>
            <w:tcW w:type="dxa" w:w="22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Perseverancia, búsqueda adaptativa de ayuda, afrontamiento activo</w:t>
            </w:r>
          </w:p>
        </w:tc>
        <w:tc>
          <w:tcPr>
            <w:tcW w:type="dxa" w:w="7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12</w:t>
            </w:r>
          </w:p>
        </w:tc>
        <w:tc>
          <w:tcPr>
            <w:tcW w:type="dxa" w:w="7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10</w:t>
            </w:r>
          </w:p>
        </w:tc>
        <w:tc>
          <w:tcPr>
            <w:tcW w:type="dxa" w:w="247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17"/>
                <w:szCs w:val="17"/>
              </w:rPr>
              <w:t xml:space="preserve">Martin &amp; Marsh (2006); Zumárraga-Espinosa (2023); Flavell (1979)</w:t>
            </w:r>
          </w:p>
        </w:tc>
      </w:tr>
      <w:tr>
        <w:tc>
          <w:tcPr>
            <w:tcW w:type="dxa" w:w="4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D5</w:t>
            </w:r>
          </w:p>
        </w:tc>
        <w:tc>
          <w:tcPr>
            <w:tcW w:type="dxa" w:w="26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Relaciones Interpersonales y Apoyo Social</w:t>
            </w:r>
          </w:p>
        </w:tc>
        <w:tc>
          <w:tcPr>
            <w:tcW w:type="dxa" w:w="22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Apoyo familiar, relaciones con pares, relaciones con docentes</w:t>
            </w:r>
          </w:p>
        </w:tc>
        <w:tc>
          <w:tcPr>
            <w:tcW w:type="dxa" w:w="7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11</w:t>
            </w:r>
          </w:p>
        </w:tc>
        <w:tc>
          <w:tcPr>
            <w:tcW w:type="dxa" w:w="7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w:t>
            </w:r>
          </w:p>
        </w:tc>
        <w:tc>
          <w:tcPr>
            <w:tcW w:type="dxa" w:w="24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7"/>
                <w:szCs w:val="17"/>
              </w:rPr>
              <w:t xml:space="preserve">Bean &amp; Metzner (1985); Tinto (1993); Wilcox et al. (2005)</w:t>
            </w:r>
          </w:p>
        </w:tc>
      </w:tr>
      <w:tr>
        <w:tc>
          <w:tcPr>
            <w:tcW w:type="dxa" w:w="4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D6</w:t>
            </w:r>
          </w:p>
        </w:tc>
        <w:tc>
          <w:tcPr>
            <w:tcW w:type="dxa" w:w="26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Afiliación y Contexto Institucional</w:t>
            </w:r>
          </w:p>
        </w:tc>
        <w:tc>
          <w:tcPr>
            <w:tcW w:type="dxa" w:w="22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Sentido de pertenencia, clima escolar percibido, apoyo institucional</w:t>
            </w:r>
          </w:p>
        </w:tc>
        <w:tc>
          <w:tcPr>
            <w:tcW w:type="dxa" w:w="7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9</w:t>
            </w:r>
          </w:p>
        </w:tc>
        <w:tc>
          <w:tcPr>
            <w:tcW w:type="dxa" w:w="70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w:t>
            </w:r>
          </w:p>
        </w:tc>
        <w:tc>
          <w:tcPr>
            <w:tcW w:type="dxa" w:w="2470"/>
            <w:tcBorders>
              <w:top w:val="single" w:color="CCCCCC" w:sz="4"/>
              <w:left w:val="single" w:color="CCCCCC" w:sz="4"/>
              <w:bottom w:val="single" w:color="CCCCCC" w:sz="4"/>
              <w:right w:val="single" w:color="CCCCCC" w:sz="4"/>
            </w:tcBorders>
            <w:shd/>
            <w:tcMar>
              <w:top w:type="dxa" w:w="60"/>
              <w:left w:type="dxa" w:w="100"/>
              <w:bottom w:type="dxa" w:w="60"/>
              <w:right w:type="dxa" w:w="100"/>
            </w:tcMar>
            <w:vAlign w:val="top"/>
          </w:tcPr>
          <w:p>
            <w:pPr>
              <w:jc w:val="left"/>
            </w:pPr>
            <w:r>
              <w:rPr>
                <w:rFonts w:ascii="Times New Roman" w:cs="Times New Roman" w:eastAsia="Times New Roman" w:hAnsi="Times New Roman"/>
                <w:color w:val="000000"/>
                <w:sz w:val="17"/>
                <w:szCs w:val="17"/>
              </w:rPr>
              <w:t xml:space="preserve">Strayhorn (2012); Ibarra Picos (2019)</w:t>
            </w:r>
          </w:p>
        </w:tc>
      </w:tr>
      <w:tr>
        <w:tc>
          <w:tcPr>
            <w:tcW w:type="dxa" w:w="400"/>
            <w:tcBorders>
              <w:top w:val="single" w:color="CCCCCC" w:sz="4"/>
              <w:left w:val="single" w:color="CCCCCC" w:sz="4"/>
              <w:bottom w:val="single" w:color="CCCCCC" w:sz="4"/>
              <w:right w:val="single" w:color="CCCCCC" w:sz="4"/>
            </w:tcBorders>
            <w:shd w:fill="FFF3E8"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C</w:t>
            </w:r>
          </w:p>
        </w:tc>
        <w:tc>
          <w:tcPr>
            <w:tcW w:type="dxa" w:w="2600"/>
            <w:tcBorders>
              <w:top w:val="single" w:color="CCCCCC" w:sz="4"/>
              <w:left w:val="single" w:color="CCCCCC" w:sz="4"/>
              <w:bottom w:val="single" w:color="CCCCCC" w:sz="4"/>
              <w:right w:val="single" w:color="CCCCCC" w:sz="4"/>
            </w:tcBorders>
            <w:shd w:fill="FFF3E8"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Criterio: Intención de Abandono</w:t>
            </w:r>
          </w:p>
        </w:tc>
        <w:tc>
          <w:tcPr>
            <w:tcW w:type="dxa" w:w="2200"/>
            <w:tcBorders>
              <w:top w:val="single" w:color="CCCCCC" w:sz="4"/>
              <w:left w:val="single" w:color="CCCCCC" w:sz="4"/>
              <w:bottom w:val="single" w:color="CCCCCC" w:sz="4"/>
              <w:right w:val="single" w:color="CCCCCC" w:sz="4"/>
            </w:tcBorders>
            <w:shd w:fill="FFF3E8"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Pensamientos y decisiones sobre dejar los estudios (variable dependiente)</w:t>
            </w:r>
          </w:p>
        </w:tc>
        <w:tc>
          <w:tcPr>
            <w:tcW w:type="dxa" w:w="700"/>
            <w:tcBorders>
              <w:top w:val="single" w:color="CCCCCC" w:sz="4"/>
              <w:left w:val="single" w:color="CCCCCC" w:sz="4"/>
              <w:bottom w:val="single" w:color="CCCCCC" w:sz="4"/>
              <w:right w:val="single" w:color="CCCCCC" w:sz="4"/>
            </w:tcBorders>
            <w:shd w:fill="FFF3E8"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w:t>
            </w:r>
          </w:p>
        </w:tc>
        <w:tc>
          <w:tcPr>
            <w:tcW w:type="dxa" w:w="700"/>
            <w:tcBorders>
              <w:top w:val="single" w:color="CCCCCC" w:sz="4"/>
              <w:left w:val="single" w:color="CCCCCC" w:sz="4"/>
              <w:bottom w:val="single" w:color="CCCCCC" w:sz="4"/>
              <w:right w:val="single" w:color="CCCCCC" w:sz="4"/>
            </w:tcBorders>
            <w:shd w:fill="FFF3E8"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w:t>
            </w:r>
          </w:p>
        </w:tc>
        <w:tc>
          <w:tcPr>
            <w:tcW w:type="dxa" w:w="2470"/>
            <w:tcBorders>
              <w:top w:val="single" w:color="CCCCCC" w:sz="4"/>
              <w:left w:val="single" w:color="CCCCCC" w:sz="4"/>
              <w:bottom w:val="single" w:color="CCCCCC" w:sz="4"/>
              <w:right w:val="single" w:color="CCCCCC" w:sz="4"/>
            </w:tcBorders>
            <w:shd w:fill="FFF3E8"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7"/>
                <w:szCs w:val="17"/>
              </w:rPr>
              <w:t xml:space="preserve">Tinto (1993); Bean (1980)</w:t>
            </w:r>
          </w:p>
        </w:tc>
      </w:tr>
      <w:tr>
        <w:tc>
          <w:tcPr>
            <w:tcW w:type="dxa" w:w="400"/>
            <w:tcBorders>
              <w:top w:val="single" w:color="CCCCCC" w:sz="4"/>
              <w:left w:val="single" w:color="CCCCCC" w:sz="4"/>
              <w:bottom w:val="single" w:color="CCCCCC" w:sz="4"/>
              <w:right w:val="single" w:color="CCCCCC" w:sz="4"/>
            </w:tcBorders>
            <w:shd w:fill="F5E8E8"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X</w:t>
            </w:r>
          </w:p>
        </w:tc>
        <w:tc>
          <w:tcPr>
            <w:tcW w:type="dxa" w:w="2600"/>
            <w:tcBorders>
              <w:top w:val="single" w:color="CCCCCC" w:sz="4"/>
              <w:left w:val="single" w:color="CCCCCC" w:sz="4"/>
              <w:bottom w:val="single" w:color="CCCCCC" w:sz="4"/>
              <w:right w:val="single" w:color="CCCCCC" w:sz="4"/>
            </w:tcBorders>
            <w:shd w:fill="F5E8E8"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Contextual: Vulnerabilidad</w:t>
            </w:r>
          </w:p>
        </w:tc>
        <w:tc>
          <w:tcPr>
            <w:tcW w:type="dxa" w:w="2200"/>
            <w:tcBorders>
              <w:top w:val="single" w:color="CCCCCC" w:sz="4"/>
              <w:left w:val="single" w:color="CCCCCC" w:sz="4"/>
              <w:bottom w:val="single" w:color="CCCCCC" w:sz="4"/>
              <w:right w:val="single" w:color="CCCCCC" w:sz="4"/>
            </w:tcBorders>
            <w:shd w:fill="F5E8E8"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Salud, economía, trabajo, duelo, cuidado, violencia</w:t>
            </w:r>
          </w:p>
        </w:tc>
        <w:tc>
          <w:tcPr>
            <w:tcW w:type="dxa" w:w="700"/>
            <w:tcBorders>
              <w:top w:val="single" w:color="CCCCCC" w:sz="4"/>
              <w:left w:val="single" w:color="CCCCCC" w:sz="4"/>
              <w:bottom w:val="single" w:color="CCCCCC" w:sz="4"/>
              <w:right w:val="single" w:color="CCCCCC" w:sz="4"/>
            </w:tcBorders>
            <w:shd w:fill="F5E8E8"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w:t>
            </w:r>
          </w:p>
        </w:tc>
        <w:tc>
          <w:tcPr>
            <w:tcW w:type="dxa" w:w="700"/>
            <w:tcBorders>
              <w:top w:val="single" w:color="CCCCCC" w:sz="4"/>
              <w:left w:val="single" w:color="CCCCCC" w:sz="4"/>
              <w:bottom w:val="single" w:color="CCCCCC" w:sz="4"/>
              <w:right w:val="single" w:color="CCCCCC" w:sz="4"/>
            </w:tcBorders>
            <w:shd w:fill="F5E8E8"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0</w:t>
            </w:r>
          </w:p>
        </w:tc>
        <w:tc>
          <w:tcPr>
            <w:tcW w:type="dxa" w:w="2470"/>
            <w:tcBorders>
              <w:top w:val="single" w:color="CCCCCC" w:sz="4"/>
              <w:left w:val="single" w:color="CCCCCC" w:sz="4"/>
              <w:bottom w:val="single" w:color="CCCCCC" w:sz="4"/>
              <w:right w:val="single" w:color="CCCCCC" w:sz="4"/>
            </w:tcBorders>
            <w:shd w:fill="F5E8E8"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7"/>
                <w:szCs w:val="17"/>
              </w:rPr>
              <w:t xml:space="preserve">SEP (2023); INEE (2019)</w:t>
            </w:r>
          </w:p>
        </w:tc>
      </w:tr>
      <w:tr>
        <w:tc>
          <w:tcPr>
            <w:tcW w:type="dxa" w:w="5200"/>
            <w:gridSpan w:val="3"/>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TOTAL</w:t>
            </w:r>
          </w:p>
        </w:tc>
        <w:tc>
          <w:tcPr>
            <w:tcW w:type="dxa" w:w="7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FFFFFF"/>
                <w:sz w:val="20"/>
                <w:szCs w:val="20"/>
              </w:rPr>
              <w:t xml:space="preserve">81</w:t>
            </w:r>
          </w:p>
        </w:tc>
        <w:tc>
          <w:tcPr>
            <w:tcW w:type="dxa" w:w="7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FFFFFF"/>
                <w:sz w:val="20"/>
                <w:szCs w:val="20"/>
              </w:rPr>
              <w:t xml:space="preserve">46</w:t>
            </w:r>
          </w:p>
        </w:tc>
        <w:tc>
          <w:tcPr>
            <w:tcW w:type="dxa" w:w="24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18"/>
                <w:szCs w:val="18"/>
              </w:rPr>
              <w:t xml:space="preserve">Tiempo estimado de aplicación: 18-22 min</w:t>
            </w:r>
          </w:p>
        </w:tc>
      </w:tr>
    </w:tbl>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A.2 — Ítems del instrumento (versión validada por expertos)</w:t>
      </w:r>
    </w:p>
    <w:p>
      <w:pPr>
        <w:spacing w:after="120" w:before="0" w:line="360"/>
        <w:ind/>
        <w:jc w:val="both"/>
      </w:pPr>
      <w:r>
        <w:rPr>
          <w:rFonts w:ascii="Times New Roman" w:cs="Times New Roman" w:eastAsia="Times New Roman" w:hAnsi="Times New Roman"/>
          <w:sz w:val="24"/>
          <w:szCs w:val="24"/>
        </w:rPr>
        <w:t xml:space="preserve">En la tabla siguiente, (I) indica ítem de codificación inversa. La columna R es para uso del aplicador (registro de respuesta 1-5). Ítems marcados ↑ suman directamente; ítems ↓ se invierten antes del cómputo dimensional.</w:t>
      </w:r>
    </w:p>
    <w:p>
      <w:pPr>
        <w:spacing w:after="0" w:before="0"/>
      </w:pPr>
      <w:r>
        <w:rPr>
          <w:rFonts w:ascii="Times New Roman" w:cs="Times New Roman" w:eastAsia="Times New Roman" w:hAnsi="Times New Roman"/>
          <w:sz w:val="4"/>
          <w:szCs w:val="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2400"/>
        <w:gridCol w:w="600"/>
        <w:gridCol w:w="370"/>
      </w:tblGrid>
      <w:tr>
        <w:trPr>
          <w:tblHeader/>
        </w:trPr>
        <w:tc>
          <w:tcPr>
            <w:tcW w:type="dxa" w:w="5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FFFFFF"/>
                <w:sz w:val="20"/>
                <w:szCs w:val="20"/>
              </w:rPr>
              <w:t xml:space="preserve">N°</w:t>
            </w:r>
          </w:p>
        </w:tc>
        <w:tc>
          <w:tcPr>
            <w:tcW w:type="dxa" w:w="52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FFFFFF"/>
                <w:sz w:val="20"/>
                <w:szCs w:val="20"/>
              </w:rPr>
              <w:t xml:space="preserve">Ítem</w:t>
            </w:r>
          </w:p>
        </w:tc>
        <w:tc>
          <w:tcPr>
            <w:tcW w:type="dxa" w:w="24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left"/>
            </w:pPr>
            <w:r>
              <w:rPr>
                <w:rFonts w:ascii="Times New Roman" w:cs="Times New Roman" w:eastAsia="Times New Roman" w:hAnsi="Times New Roman"/>
                <w:b/>
                <w:bCs/>
                <w:color w:val="FFFFFF"/>
                <w:sz w:val="20"/>
                <w:szCs w:val="20"/>
              </w:rPr>
              <w:t xml:space="preserve">Dimensión / Subdimensión</w:t>
            </w:r>
          </w:p>
        </w:tc>
        <w:tc>
          <w:tcPr>
            <w:tcW w:type="dxa" w:w="6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FFFFFF"/>
                <w:sz w:val="20"/>
                <w:szCs w:val="20"/>
              </w:rPr>
              <w:t xml:space="preserve">Cod.</w:t>
            </w:r>
          </w:p>
        </w:tc>
        <w:tc>
          <w:tcPr>
            <w:tcW w:type="dxa" w:w="37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vAlign w:val="top"/>
          </w:tcPr>
          <w:p>
            <w:pPr>
              <w:jc w:val="center"/>
            </w:pPr>
            <w:r>
              <w:rPr>
                <w:rFonts w:ascii="Times New Roman" w:cs="Times New Roman" w:eastAsia="Times New Roman" w:hAnsi="Times New Roman"/>
                <w:b/>
                <w:bCs/>
                <w:color w:val="FFFFFF"/>
                <w:sz w:val="20"/>
                <w:szCs w:val="20"/>
              </w:rPr>
              <w:t xml:space="preserve">R</w:t>
            </w:r>
          </w:p>
        </w:tc>
      </w:tr>
      <w:tr>
        <w:tc>
          <w:tcPr>
            <w:tcW w:type="dxa" w:w="9070"/>
            <w:gridSpan w:val="5"/>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color w:val="2E7D5E"/>
                <w:sz w:val="20"/>
                <w:szCs w:val="20"/>
              </w:rPr>
              <w:t xml:space="preserve">D1 — Bienestar Emocional</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ansioso/a cuando pienso en mis responsabilidades académicas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D1.1 Salud Mental</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abrumado/a por la cantidad de tareas y trabajos que debo realizar</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D1.1 Salud Mental</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optimista respecto a mi futuro académico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D1.1 Salud Mental</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Duermo bien y descanso lo suficiente</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D1.1 Salud Mental</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El estrés académico afecta mi salud física (dolores de cabeza, estómago, etc.)</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D1.1 Salud Mental</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Cuando enfrento un problema académico, logro mantener la calma</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D1.2 Regulación Emocional</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resulta difícil recuperarme emocionalmente tras obtener una mala calificación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D1.2 Regulación Emocional</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8</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Reconozco mis emociones y comprendo por qué me siento así</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D1.2 Regulación Emocional</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9</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Puedo transformar experiencias negativas en oportunidades de aprendizaje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D1.2 Regulación Emocional</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10</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emocionalmente agotado/a por mis estudios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D1.3 Burnout Académico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11</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lleno/a de energía para enfrentar mis actividades académicas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D1.3 Burnout Académico</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12</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Siento que estudiar es una carga pesada para mí</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D1.3 Burnout Académico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13</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He perdido el entusiasmo por mis estudios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D1.3 Burnout Académico</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9070"/>
            <w:gridSpan w:val="5"/>
            <w:tcBorders>
              <w:top w:val="single" w:color="CCCCCC" w:sz="4"/>
              <w:left w:val="single" w:color="CCCCCC" w:sz="4"/>
              <w:bottom w:val="single" w:color="CCCCCC" w:sz="4"/>
              <w:right w:val="single" w:color="CCCCCC" w:sz="4"/>
            </w:tcBorders>
            <w:shd w:fill="E8F0F5" w:val="clear"/>
            <w:tcMar>
              <w:top w:type="dxa" w:w="60"/>
              <w:left w:type="dxa" w:w="100"/>
              <w:bottom w:type="dxa" w:w="60"/>
              <w:right w:type="dxa" w:w="100"/>
            </w:tcMar>
          </w:tcPr>
          <w:p>
            <w:r>
              <w:rPr>
                <w:rFonts w:ascii="Times New Roman" w:cs="Times New Roman" w:eastAsia="Times New Roman" w:hAnsi="Times New Roman"/>
                <w:b/>
                <w:bCs/>
                <w:color w:val="2E7D5E"/>
                <w:sz w:val="20"/>
                <w:szCs w:val="20"/>
              </w:rPr>
              <w:t xml:space="preserve">D2 — Autopercepción y Autoconcepto</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14</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Dudo de mi capacidad para completar exitosamente mis estudios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D2.1 Autoestima Académica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15</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orgulloso/a de ser estudiante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D2.1 Autoestima Académica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16</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Creo que soy capaz de aprender lo que me proponga</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D2.1 Autoestima Académica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17</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Siento que no soy lo suficientemente inteligente para esta carrera</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D2.1 Autoestima Académica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18</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Confío en mis capacidades académicas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D2.1 Autoestima Académica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19</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inferior a mis compañeros/as en términos académicos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D2.1 Autoestima Académica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20</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acepto tal como soy</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D2.2 Autoconcepto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21</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considero una persona valiosa</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D2.2 Autoconcepto</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22</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Actúo de acuerdo con mis valores y principios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D2.2 Autoconcepto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23</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inseguro/a acerca de quién soy realmente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D2.2 Autoconcepto</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24</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Confío en que puedo aprobar todas mis materias si me esfuerzo</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D2.3 Autoeficacia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25</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Puedo manejar situaciones académicas difíciles si me lo propongo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D2.3 Autoeficacia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26</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Cuando enfrento un reto académico, dudo de poder superarlo</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D2.3 Autoeficacia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9070"/>
            <w:gridSpan w:val="5"/>
            <w:tcBorders>
              <w:top w:val="single" w:color="CCCCCC" w:sz="4"/>
              <w:left w:val="single" w:color="CCCCCC" w:sz="4"/>
              <w:bottom w:val="single" w:color="CCCCCC" w:sz="4"/>
              <w:right w:val="single" w:color="CCCCCC" w:sz="4"/>
            </w:tcBorders>
            <w:shd w:fill="F5F5E8" w:val="clear"/>
            <w:tcMar>
              <w:top w:type="dxa" w:w="60"/>
              <w:left w:type="dxa" w:w="100"/>
              <w:bottom w:type="dxa" w:w="60"/>
              <w:right w:type="dxa" w:w="100"/>
            </w:tcMar>
          </w:tcPr>
          <w:p>
            <w:r>
              <w:rPr>
                <w:rFonts w:ascii="Times New Roman" w:cs="Times New Roman" w:eastAsia="Times New Roman" w:hAnsi="Times New Roman"/>
                <w:b/>
                <w:bCs/>
                <w:color w:val="2E7D5E"/>
                <w:sz w:val="20"/>
                <w:szCs w:val="20"/>
              </w:rPr>
              <w:t xml:space="preserve">D3 — Motivación y Compromiso Académico</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27</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Estudio porque realmente me interesa lo que estoy aprendiendo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D3.1 Motivación</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28</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esfuerzo en mis estudios porque quiero comprender mejor las cosas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D3.1 Motivación</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29</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Veo una conexión clara entre mis estudios y mis metas futuras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D3.1 Motivación</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30</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He perdido el interés por la carrera que elegí</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D3.1 Motivación</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31</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con energía cuando asisto a clases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D3.2 Engagement</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32</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entusiasmado/a con mi carrera</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D3.2 Engagement</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33</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involucro completamente en mis tareas académicas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D3.2 Engagement</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34</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Participo activamente en mis clases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D3.2 Engagement</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35</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Tengo metas académicas claras que quiero alcanzar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D3.3 Metas y Expectativas</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36</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He pensado seriamente en abandonar mis estudios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D3.3 Metas y Expectativas</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37</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Mantengo el enfoque en mis objetivos a pesar de las dificultades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D3.3 Metas y Expectativas</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38</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Tengo dudas sobre si elegí la carrera correcta</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D3.3 Metas y Expectativas</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9070"/>
            <w:gridSpan w:val="5"/>
            <w:tcBorders>
              <w:top w:val="single" w:color="CCCCCC" w:sz="4"/>
              <w:left w:val="single" w:color="CCCCCC" w:sz="4"/>
              <w:bottom w:val="single" w:color="CCCCCC" w:sz="4"/>
              <w:right w:val="single" w:color="CCCCCC" w:sz="4"/>
            </w:tcBorders>
            <w:shd w:fill="F5EEE8" w:val="clear"/>
            <w:tcMar>
              <w:top w:type="dxa" w:w="60"/>
              <w:left w:type="dxa" w:w="100"/>
              <w:bottom w:type="dxa" w:w="60"/>
              <w:right w:type="dxa" w:w="100"/>
            </w:tcMar>
          </w:tcPr>
          <w:p>
            <w:r>
              <w:rPr>
                <w:rFonts w:ascii="Times New Roman" w:cs="Times New Roman" w:eastAsia="Times New Roman" w:hAnsi="Times New Roman"/>
                <w:b/>
                <w:bCs/>
                <w:color w:val="2E7D5E"/>
                <w:sz w:val="20"/>
                <w:szCs w:val="20"/>
              </w:rPr>
              <w:t xml:space="preserve">D4 — Resiliencia y Afrontamiento</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39</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Cuando repruebo un examen, sigo intentándolo hasta mejorar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D4.1 Perseverancia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40</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Veo los obstáculos académicos como retos que puedo superar</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D4.1 Perseverancia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41</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Cuando enfrento dificultades académicas, pienso en abandonar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D4.1 Perseverancia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42</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Aprendo de mis errores y los utilizo para mejorar</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D4.1 Perseverancia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43</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Cuando tengo dificultades académicas, busco ayuda de mis profesores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D4.2 Búsqueda de Ayuda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44</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Busco estrategias diferentes cuando algo no me funciona</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D4.2 Búsqueda de Ayuda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45</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Aprovecho los recursos de apoyo que ofrece la institución (tutorías, asesorías)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D4.2 Búsqueda de Ayuda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46</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Analizo qué debo cambiar en mi forma de estudiar para mejorar</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D4.2 Búsqueda de Ayuda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47</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Enfrento activamente los problemas académicos que se me presentan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D4.3 Afrontamiento Activo</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48</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Planifico estrategias para superar las dificultades académicas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D4.3 Afrontamiento Activo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49</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adapto fácilmente a los cambios en mi rutina académica</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D4.3 Afrontamiento Activo</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50</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Ante un problema académico, prefiero evitarlo en lugar de enfrentarlo</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D4.3 Afrontamiento Activo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9070"/>
            <w:gridSpan w:val="5"/>
            <w:tcBorders>
              <w:top w:val="single" w:color="CCCCCC" w:sz="4"/>
              <w:left w:val="single" w:color="CCCCCC" w:sz="4"/>
              <w:bottom w:val="single" w:color="CCCCCC" w:sz="4"/>
              <w:right w:val="single" w:color="CCCCCC" w:sz="4"/>
            </w:tcBorders>
            <w:shd w:fill="EEE8F5" w:val="clear"/>
            <w:tcMar>
              <w:top w:type="dxa" w:w="60"/>
              <w:left w:type="dxa" w:w="100"/>
              <w:bottom w:type="dxa" w:w="60"/>
              <w:right w:type="dxa" w:w="100"/>
            </w:tcMar>
          </w:tcPr>
          <w:p>
            <w:r>
              <w:rPr>
                <w:rFonts w:ascii="Times New Roman" w:cs="Times New Roman" w:eastAsia="Times New Roman" w:hAnsi="Times New Roman"/>
                <w:b/>
                <w:bCs/>
                <w:color w:val="2E7D5E"/>
                <w:sz w:val="20"/>
                <w:szCs w:val="20"/>
              </w:rPr>
              <w:t xml:space="preserve">D5 — Relaciones Interpersonales y Apoyo Social</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51</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Mi familia me apoya emocionalmente en mis estudios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D5.1 Apoyo Familiar</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52</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En mi casa hay conflictos que afectan mi concentración en los estudios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D5.1 Apoyo Familiar</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53</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Mi familia valora mis esfuerzos académicos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D5.1 Apoyo Familiar</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54</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Los problemas familiares me han hecho pensar en dejar de estudiar</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D5.1 Apoyo Familiar</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55</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Tengo amigos/as en la institución con quienes puedo contar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D5.2 Relaciones con Pares</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56</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solo/a en la escuela</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D5.2 Relaciones con Pares</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57</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Mis compañeros/as me apoyan cuando tengo dificultades académicas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D5.2 Relaciones con Pares</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58</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integro fácilmente con grupos de trabajo en clase</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D5.2 Relaciones con Pares</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59</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Mis profesores/as se interesan por mi aprendizaje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D5.3 Relaciones con Docentes</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60</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Puedo comunicarme fácilmente con mis profesores/as cuando tengo dudas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D5.3 Relaciones con Docentes</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61</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Mis profesores/as reconocen mis esfuerzos y logros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D5.3 Relaciones con Docentes</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9070"/>
            <w:gridSpan w:val="5"/>
            <w:tcBorders>
              <w:top w:val="single" w:color="CCCCCC" w:sz="4"/>
              <w:left w:val="single" w:color="CCCCCC" w:sz="4"/>
              <w:bottom w:val="single" w:color="CCCCCC" w:sz="4"/>
              <w:right w:val="single" w:color="CCCCCC" w:sz="4"/>
            </w:tcBorders>
            <w:shd w:fill="E8F2F5" w:val="clear"/>
            <w:tcMar>
              <w:top w:type="dxa" w:w="60"/>
              <w:left w:type="dxa" w:w="100"/>
              <w:bottom w:type="dxa" w:w="60"/>
              <w:right w:type="dxa" w:w="100"/>
            </w:tcMar>
          </w:tcPr>
          <w:p>
            <w:r>
              <w:rPr>
                <w:rFonts w:ascii="Times New Roman" w:cs="Times New Roman" w:eastAsia="Times New Roman" w:hAnsi="Times New Roman"/>
                <w:b/>
                <w:bCs/>
                <w:color w:val="2E7D5E"/>
                <w:sz w:val="20"/>
                <w:szCs w:val="20"/>
              </w:rPr>
              <w:t xml:space="preserve">D6 — Afiliación y Contexto Institucional</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62</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orgulloso/a de pertenecer a esta institución</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D6.1 Sentido de Pertenencia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63</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Siento que soy parte de la comunidad educativa</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D6.1 Sentido de Pertenencia</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64</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Pienso que estudiar aquí fue una mala decisión</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D6.1 Sentido de Pertenencia</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65</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El ambiente en mi institución favorece el aprendizaje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D6.2 Clima Escolar</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66</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siento seguro/a física y emocionalmente en la institución</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D6.2 Clima Escolar</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67</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Existe un ambiente de respeto entre todos los miembros de la comunidad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D6.2 Clima Escolar</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68</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La institución ofrece servicios de apoyo académico efectivos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D6.3 Apoyo Institucional</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69</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La institución se preocupa por el bienestar de los estudiantes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D6.3 Apoyo Institucional</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9070"/>
            <w:gridSpan w:val="5"/>
            <w:tcBorders>
              <w:top w:val="single" w:color="CCCCCC" w:sz="4"/>
              <w:left w:val="single" w:color="CCCCCC" w:sz="4"/>
              <w:bottom w:val="single" w:color="CCCCCC" w:sz="4"/>
              <w:right w:val="single" w:color="CCCCCC" w:sz="4"/>
            </w:tcBorders>
            <w:shd w:fill="FFF3E8" w:val="clear"/>
            <w:tcMar>
              <w:top w:type="dxa" w:w="60"/>
              <w:left w:type="dxa" w:w="100"/>
              <w:bottom w:type="dxa" w:w="60"/>
              <w:right w:type="dxa" w:w="100"/>
            </w:tcMar>
          </w:tcPr>
          <w:p>
            <w:r>
              <w:rPr>
                <w:rFonts w:ascii="Times New Roman" w:cs="Times New Roman" w:eastAsia="Times New Roman" w:hAnsi="Times New Roman"/>
                <w:b/>
                <w:bCs/>
                <w:color w:val="2E7D5E"/>
                <w:sz w:val="20"/>
                <w:szCs w:val="20"/>
              </w:rPr>
              <w:t xml:space="preserve">CRITERIO — Intención de Abandono</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70</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He pensado seriamente en abandonar mis estudios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Criterio: Intención de Abandono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71</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Estoy seguro/a de que terminaré mi carrera</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Criterio: Intención de Abandono</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72</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Me veo graduándome de esta carrera en el tiempo establecido</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Criterio: Intención de Abandono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73</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En el último mes, he considerado la posibilidad de dejar mis estudios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Criterio: Intención de Abandono</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74</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Si pudiera volver atrás, elegiría esta misma carrera</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Criterio: Intención de Abandono</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1A6B5C"/>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9070"/>
            <w:gridSpan w:val="5"/>
            <w:tcBorders>
              <w:top w:val="single" w:color="CCCCCC" w:sz="4"/>
              <w:left w:val="single" w:color="CCCCCC" w:sz="4"/>
              <w:bottom w:val="single" w:color="CCCCCC" w:sz="4"/>
              <w:right w:val="single" w:color="CCCCCC" w:sz="4"/>
            </w:tcBorders>
            <w:shd w:fill="F5E8E8" w:val="clear"/>
            <w:tcMar>
              <w:top w:type="dxa" w:w="60"/>
              <w:left w:type="dxa" w:w="100"/>
              <w:bottom w:type="dxa" w:w="60"/>
              <w:right w:type="dxa" w:w="100"/>
            </w:tcMar>
          </w:tcPr>
          <w:p>
            <w:r>
              <w:rPr>
                <w:rFonts w:ascii="Times New Roman" w:cs="Times New Roman" w:eastAsia="Times New Roman" w:hAnsi="Times New Roman"/>
                <w:b/>
                <w:bCs/>
                <w:color w:val="2E7D5E"/>
                <w:sz w:val="20"/>
                <w:szCs w:val="20"/>
              </w:rPr>
              <w:t xml:space="preserve">CONTEXTUAL — Situaciones de Vulnerabilidad</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75</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Problemas de salud (míos o de algún familiar) han afectado mi desempeño académico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Contextual: Vulnerabilidad</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76</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Tengo dificultades económicas que ponen en riesgo mi continuidad en los estudios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Contextual: Vulnerabilidad</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77</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Combino los estudios con un trabajo remunerado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Contextual: Vulnerabilidad</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78</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He experimentado pérdidas significativas (duelo) durante mis estudios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Contextual: Vulnerabilidad</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79</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Tengo responsabilidades de cuidado (hijos, familiares enfermos) que limitan mi tiempo de estudio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Contextual: Vulnerabilidad</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80</w:t>
            </w:r>
          </w:p>
        </w:tc>
        <w:tc>
          <w:tcPr>
            <w:tcW w:type="dxa" w:w="52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000000"/>
                <w:sz w:val="20"/>
                <w:szCs w:val="20"/>
              </w:rPr>
              <w:t xml:space="preserve">He sufrido situaciones de violencia o acoso (escolar, familiar o de pareja) durante mis estudios</w:t>
            </w:r>
          </w:p>
        </w:tc>
        <w:tc>
          <w:tcPr>
            <w:tcW w:type="dxa" w:w="2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left"/>
            </w:pPr>
            <w:r>
              <w:rPr>
                <w:rFonts w:ascii="Times New Roman" w:cs="Times New Roman" w:eastAsia="Times New Roman" w:hAnsi="Times New Roman"/>
                <w:color w:val="444444"/>
                <w:sz w:val="18"/>
                <w:szCs w:val="18"/>
              </w:rPr>
              <w:t xml:space="preserve">Contextual: Vulnerabilidad</w:t>
            </w:r>
          </w:p>
        </w:tc>
        <w:tc>
          <w:tcPr>
            <w:tcW w:type="dxa" w:w="6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C0392B"/>
                <w:sz w:val="20"/>
                <w:szCs w:val="20"/>
              </w:rPr>
              <w:t xml:space="preserve">↓</w:t>
            </w:r>
          </w:p>
        </w:tc>
        <w:tc>
          <w:tcPr>
            <w:tcW w:type="dxa" w:w="3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top"/>
          </w:tcPr>
          <w:p>
            <w:pPr>
              <w:jc w:val="center"/>
            </w:pPr>
            <w:r>
              <w:rPr>
                <w:rFonts w:ascii="Times New Roman" w:cs="Times New Roman" w:eastAsia="Times New Roman" w:hAnsi="Times New Roman"/>
                <w:color w:val="000000"/>
                <w:sz w:val="20"/>
                <w:szCs w:val="20"/>
              </w:rPr>
              <w:t xml:space="preserve">○</w:t>
            </w:r>
          </w:p>
        </w:tc>
      </w:tr>
    </w:tbl>
    <w:p>
      <w:pPr>
        <w:pageBreakBefore/>
        <w:spacing w:after="200" w:before="0"/>
      </w:pPr>
      <w:r>
        <w:rPr>
          <w:rFonts w:ascii="Times New Roman" w:cs="Times New Roman" w:eastAsia="Times New Roman" w:hAnsi="Times New Roman"/>
          <w:b/>
          <w:bCs/>
          <w:color w:val="1A6B5C"/>
          <w:sz w:val="36"/>
          <w:szCs w:val="36"/>
        </w:rPr>
        <w:t xml:space="preserve">ANEXO B</w:t>
      </w:r>
      <w:r>
        <w:rPr>
          <w:rFonts w:ascii="Times New Roman" w:cs="Times New Roman" w:eastAsia="Times New Roman" w:hAnsi="Times New Roman"/>
          <w:color w:val="AAAAAA"/>
          <w:sz w:val="28"/>
          <w:szCs w:val="28"/>
        </w:rPr>
        <w:t xml:space="preserve">  |  </w:t>
      </w:r>
      <w:r>
        <w:rPr>
          <w:rFonts w:ascii="Times New Roman" w:cs="Times New Roman" w:eastAsia="Times New Roman" w:hAnsi="Times New Roman"/>
          <w:b/>
          <w:bCs/>
          <w:color w:val="1A1A2E"/>
          <w:sz w:val="28"/>
          <w:szCs w:val="28"/>
        </w:rPr>
        <w:t xml:space="preserve">Arquitectura del Sistema Atenea AI</w:t>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B.1 — Descripción general</w:t>
      </w:r>
    </w:p>
    <w:p>
      <w:pPr>
        <w:spacing w:after="120" w:before="0" w:line="360"/>
        <w:ind/>
        <w:jc w:val="both"/>
      </w:pPr>
      <w:r>
        <w:rPr>
          <w:rFonts w:ascii="Times New Roman" w:cs="Times New Roman" w:eastAsia="Times New Roman" w:hAnsi="Times New Roman"/>
          <w:sz w:val="24"/>
          <w:szCs w:val="24"/>
        </w:rPr>
        <w:t xml:space="preserve">El Sistema Atenea AI es la instancia computacional del SIP (Sistema Instrumental Psicotécnico). Integra tres capas funcionales: (1) captura y procesamiento del instrumento psicoemocional, (2) predicción mediante Stacking Ensemble con XAI en dos niveles, y (3) mediación pedagógica a través de la Ficha Atenea AI. El sistema no sustituye al orientador educativo: media su intervención mediante el Ciclo CIR (Comprensión → Intervención → Retroalimentación), aportando explicaciones interpretables sobre cada predicción.</w:t>
      </w:r>
    </w:p>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B.2 — Tabla de arquitectura por módulo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470"/>
      </w:tblGrid>
      <w:tr>
        <w:trPr>
          <w:tblHeader/>
        </w:trPr>
        <w:tc>
          <w:tcPr>
            <w:tcW w:type="dxa" w:w="1600"/>
            <w:tcBorders>
              <w:top w:val="single" w:color="CCCCCC" w:sz="4"/>
              <w:left w:val="single" w:color="CCCCCC" w:sz="4"/>
              <w:bottom w:val="single" w:color="CCCCCC" w:sz="4"/>
              <w:right w:val="single" w:color="CCCCCC" w:sz="4"/>
            </w:tcBorders>
            <w:shd w:fill="1A6B5C"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Capa / Módulo</w:t>
            </w:r>
          </w:p>
        </w:tc>
        <w:tc>
          <w:tcPr>
            <w:tcW w:type="dxa" w:w="2200"/>
            <w:tcBorders>
              <w:top w:val="single" w:color="CCCCCC" w:sz="4"/>
              <w:left w:val="single" w:color="CCCCCC" w:sz="4"/>
              <w:bottom w:val="single" w:color="CCCCCC" w:sz="4"/>
              <w:right w:val="single" w:color="CCCCCC" w:sz="4"/>
            </w:tcBorders>
            <w:shd w:fill="1A6B5C"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Componente</w:t>
            </w:r>
          </w:p>
        </w:tc>
        <w:tc>
          <w:tcPr>
            <w:tcW w:type="dxa" w:w="2000"/>
            <w:tcBorders>
              <w:top w:val="single" w:color="CCCCCC" w:sz="4"/>
              <w:left w:val="single" w:color="CCCCCC" w:sz="4"/>
              <w:bottom w:val="single" w:color="CCCCCC" w:sz="4"/>
              <w:right w:val="single" w:color="CCCCCC" w:sz="4"/>
            </w:tcBorders>
            <w:shd w:fill="1A6B5C"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Algoritmo / Tecnología</w:t>
            </w:r>
          </w:p>
        </w:tc>
        <w:tc>
          <w:tcPr>
            <w:tcW w:type="dxa" w:w="1800"/>
            <w:tcBorders>
              <w:top w:val="single" w:color="CCCCCC" w:sz="4"/>
              <w:left w:val="single" w:color="CCCCCC" w:sz="4"/>
              <w:bottom w:val="single" w:color="CCCCCC" w:sz="4"/>
              <w:right w:val="single" w:color="CCCCCC" w:sz="4"/>
            </w:tcBorders>
            <w:shd w:fill="1A6B5C"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Función principal</w:t>
            </w:r>
          </w:p>
        </w:tc>
        <w:tc>
          <w:tcPr>
            <w:tcW w:type="dxa" w:w="1470"/>
            <w:tcBorders>
              <w:top w:val="single" w:color="CCCCCC" w:sz="4"/>
              <w:left w:val="single" w:color="CCCCCC" w:sz="4"/>
              <w:bottom w:val="single" w:color="CCCCCC" w:sz="4"/>
              <w:right w:val="single" w:color="CCCCCC" w:sz="4"/>
            </w:tcBorders>
            <w:shd w:fill="1A6B5C"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Parámetros clave</w:t>
            </w:r>
          </w:p>
        </w:tc>
      </w:tr>
      <w:tr>
        <w:tc>
          <w:tcPr>
            <w:tcW w:type="dxa" w:w="1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Entrada (N × 80)</w:t>
            </w:r>
          </w:p>
        </w:tc>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Instrumento SIP (80 ítems, Likert 1-5)</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Captura digital autoadministrada</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Codificar variables psicoemocionales como vectores numéricos</w:t>
            </w:r>
          </w:p>
        </w:tc>
        <w:tc>
          <w:tcPr>
            <w:tcW w:type="dxa" w:w="147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80 features / 6 dimensiones + criterio + contextual</w:t>
            </w:r>
          </w:p>
        </w:tc>
      </w:tr>
      <w:tr>
        <w:tc>
          <w:tcPr>
            <w:tcW w:type="dxa" w:w="16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Preprocesamiento</w:t>
            </w:r>
          </w:p>
        </w:tc>
        <w:tc>
          <w:tcPr>
            <w:tcW w:type="dxa" w:w="22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Limpieza, normalización, balanceo de clases</w:t>
            </w:r>
          </w:p>
        </w:tc>
        <w:tc>
          <w:tcPr>
            <w:tcW w:type="dxa" w:w="20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StandardScaler + SMOTE</w:t>
            </w:r>
          </w:p>
        </w:tc>
        <w:tc>
          <w:tcPr>
            <w:tcW w:type="dxa" w:w="18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Estandarizar datos; balancear clase minoritaria (en riesgo)</w:t>
            </w:r>
          </w:p>
        </w:tc>
        <w:tc>
          <w:tcPr>
            <w:tcW w:type="dxa" w:w="147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k_neighbors=5 (SMOTE)</w:t>
            </w:r>
          </w:p>
        </w:tc>
      </w:tr>
      <w:tr>
        <w:tc>
          <w:tcPr>
            <w:tcW w:type="dxa" w:w="1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Capa 1 — Base 1</w:t>
            </w:r>
          </w:p>
        </w:tc>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Random Forest (RF)</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Breiman (2001) — Bagging + aleatoriedad</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Reducir varianza; importancia de variables global</w:t>
            </w:r>
          </w:p>
        </w:tc>
        <w:tc>
          <w:tcPr>
            <w:tcW w:type="dxa" w:w="147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n_est=200, max_depth=8, max_feat='sqrt'</w:t>
            </w:r>
          </w:p>
        </w:tc>
      </w:tr>
      <w:tr>
        <w:tc>
          <w:tcPr>
            <w:tcW w:type="dxa" w:w="16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Capa 1 — Base 2</w:t>
            </w:r>
          </w:p>
        </w:tc>
        <w:tc>
          <w:tcPr>
            <w:tcW w:type="dxa" w:w="22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XGBoost</w:t>
            </w:r>
          </w:p>
        </w:tc>
        <w:tc>
          <w:tcPr>
            <w:tcW w:type="dxa" w:w="20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Chen &amp; Guestrin (2016) — Boosting + regularización</w:t>
            </w:r>
          </w:p>
        </w:tc>
        <w:tc>
          <w:tcPr>
            <w:tcW w:type="dxa" w:w="18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Reducir sesgo; relaciones no lineales entre dimensiones</w:t>
            </w:r>
          </w:p>
        </w:tc>
        <w:tc>
          <w:tcPr>
            <w:tcW w:type="dxa" w:w="147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n_est=300, lr=0.05, max_depth=5, λ=1, α=0</w:t>
            </w:r>
          </w:p>
        </w:tc>
      </w:tr>
      <w:tr>
        <w:tc>
          <w:tcPr>
            <w:tcW w:type="dxa" w:w="1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Capa 1 — Base 3</w:t>
            </w:r>
          </w:p>
        </w:tc>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Gradient Boosting (GB)</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Friedman (2001) — Descenso de gradiente funcional</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Complementa RF y XGBoost en patrones residuales</w:t>
            </w:r>
          </w:p>
        </w:tc>
        <w:tc>
          <w:tcPr>
            <w:tcW w:type="dxa" w:w="147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n_est=200, lr=0.1, max_depth=4, subsample=0.8</w:t>
            </w:r>
          </w:p>
        </w:tc>
      </w:tr>
      <w:tr>
        <w:tc>
          <w:tcPr>
            <w:tcW w:type="dxa" w:w="16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Meta-características</w:t>
            </w:r>
          </w:p>
        </w:tc>
        <w:tc>
          <w:tcPr>
            <w:tcW w:type="dxa" w:w="22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Matriz de probabilidades (N × 3)</w:t>
            </w:r>
          </w:p>
        </w:tc>
        <w:tc>
          <w:tcPr>
            <w:tcW w:type="dxa" w:w="20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k-fold CV (k=10) — Wolpert (1992)</w:t>
            </w:r>
          </w:p>
        </w:tc>
        <w:tc>
          <w:tcPr>
            <w:tcW w:type="dxa" w:w="18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Evitar data leakage; predicciones fuera de muestra para el meta-learner</w:t>
            </w:r>
          </w:p>
        </w:tc>
        <w:tc>
          <w:tcPr>
            <w:tcW w:type="dxa" w:w="147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k=10 pliegues estratificados</w:t>
            </w:r>
          </w:p>
        </w:tc>
      </w:tr>
      <w:tr>
        <w:tc>
          <w:tcPr>
            <w:tcW w:type="dxa" w:w="1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Capa 2 — Meta-learner</w:t>
            </w:r>
          </w:p>
        </w:tc>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Red Neuronal Feed-Forward (FNN)</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MLP — 3 capas ocultas [32, 16, 8] + Dropout</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Aprender combinación óptima de los 3 clasificadores base</w:t>
            </w:r>
          </w:p>
        </w:tc>
        <w:tc>
          <w:tcPr>
            <w:tcW w:type="dxa" w:w="147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Activación: ReLU; lr=0.001; batch=32; epochs=100</w:t>
            </w:r>
          </w:p>
        </w:tc>
      </w:tr>
      <w:tr>
        <w:tc>
          <w:tcPr>
            <w:tcW w:type="dxa" w:w="16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XAI Nivel 1</w:t>
            </w:r>
          </w:p>
        </w:tc>
        <w:tc>
          <w:tcPr>
            <w:tcW w:type="dxa" w:w="22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SHAP en clasificadores base</w:t>
            </w:r>
          </w:p>
        </w:tc>
        <w:tc>
          <w:tcPr>
            <w:tcW w:type="dxa" w:w="20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TreeSHAP — Lundberg et al. (2020)</w:t>
            </w:r>
          </w:p>
        </w:tc>
        <w:tc>
          <w:tcPr>
            <w:tcW w:type="dxa" w:w="18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Importancia local y global por variable psicoemocional</w:t>
            </w:r>
          </w:p>
        </w:tc>
        <w:tc>
          <w:tcPr>
            <w:tcW w:type="dxa" w:w="147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Unified SHAP values; summary_plot, force_plot</w:t>
            </w:r>
          </w:p>
        </w:tc>
      </w:tr>
      <w:tr>
        <w:tc>
          <w:tcPr>
            <w:tcW w:type="dxa" w:w="1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XAI Nivel 2</w:t>
            </w:r>
          </w:p>
        </w:tc>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SHAP en meta-learner</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KernelSHAP — Lundberg &amp; Lee (2017)</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Explicar predicción final; input para Ficha Atenea AI</w:t>
            </w:r>
          </w:p>
        </w:tc>
        <w:tc>
          <w:tcPr>
            <w:tcW w:type="dxa" w:w="147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background_samples=100; nsamples=200</w:t>
            </w:r>
          </w:p>
        </w:tc>
      </w:tr>
      <w:tr>
        <w:tc>
          <w:tcPr>
            <w:tcW w:type="dxa" w:w="16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Salida — Ficha Atenea AI</w:t>
            </w:r>
          </w:p>
        </w:tc>
        <w:tc>
          <w:tcPr>
            <w:tcW w:type="dxa" w:w="22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Perfil de riesgo + dimensiones críticas + recomendaciones</w:t>
            </w:r>
          </w:p>
        </w:tc>
        <w:tc>
          <w:tcPr>
            <w:tcW w:type="dxa" w:w="20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FastAPI + Plantilla HTML dinámica</w:t>
            </w:r>
          </w:p>
        </w:tc>
        <w:tc>
          <w:tcPr>
            <w:tcW w:type="dxa" w:w="180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Mediar la intervención del orientador (Ciclo CIR)</w:t>
            </w:r>
          </w:p>
        </w:tc>
        <w:tc>
          <w:tcPr>
            <w:tcW w:type="dxa" w:w="1470"/>
            <w:tcBorders>
              <w:top w:val="single" w:color="CCCCCC" w:sz="4"/>
              <w:left w:val="single" w:color="CCCCCC" w:sz="4"/>
              <w:bottom w:val="single" w:color="CCCCCC" w:sz="4"/>
              <w:right w:val="single" w:color="CCCCCC" w:sz="4"/>
            </w:tcBorders>
            <w:shd w:fill="F5FAF7" w:val="clear"/>
            <w:tcMar>
              <w:top w:type="dxa" w:w="80"/>
              <w:left w:type="dxa" w:w="120"/>
              <w:bottom w:type="dxa" w:w="80"/>
              <w:right w:type="dxa" w:w="120"/>
            </w:tcMar>
            <w:vAlign w:val="top"/>
          </w:tcPr>
          <w:p>
            <w:r>
              <w:rPr>
                <w:rFonts w:ascii="Times New Roman" w:cs="Times New Roman" w:eastAsia="Times New Roman" w:hAnsi="Times New Roman"/>
                <w:sz w:val="20"/>
                <w:szCs w:val="20"/>
              </w:rPr>
              <w:t xml:space="preserve">3 niveles: bajo / medio / alto riesgo</w:t>
            </w:r>
          </w:p>
        </w:tc>
      </w:tr>
    </w:tbl>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B.3 — Flujo del sistema (Ciclo CIR)</w:t>
      </w:r>
    </w:p>
    <w:p>
      <w:pPr>
        <w:spacing w:after="120" w:before="0" w:line="360"/>
        <w:ind/>
        <w:jc w:val="both"/>
      </w:pPr>
      <w:r>
        <w:rPr>
          <w:rFonts w:ascii="Times New Roman" w:cs="Times New Roman" w:eastAsia="Times New Roman" w:hAnsi="Times New Roman"/>
          <w:sz w:val="24"/>
          <w:szCs w:val="24"/>
        </w:rPr>
        <w:t xml:space="preserve">1. COMPRENSIÓN — El instrumento SIP (80 ítems, Likert 1-5) es aplicado digitalmente al estudiante. Las respuestas se procesan, normalizan y codifican como vector de entrada (N × 80).</w:t>
      </w:r>
    </w:p>
    <w:p>
      <w:pPr>
        <w:spacing w:after="120" w:before="0" w:line="360"/>
        <w:ind/>
        <w:jc w:val="both"/>
      </w:pPr>
      <w:r>
        <w:rPr>
          <w:rFonts w:ascii="Times New Roman" w:cs="Times New Roman" w:eastAsia="Times New Roman" w:hAnsi="Times New Roman"/>
          <w:sz w:val="24"/>
          <w:szCs w:val="24"/>
        </w:rPr>
        <w:t xml:space="preserve">2. PREDICCIÓN — El Stacking Ensemble (Capa 1: RF + XGBoost + GB → Capa 2: FNN meta-learner) genera una probabilidad de riesgo y un nivel categórico (bajo / medio / alto).</w:t>
      </w:r>
    </w:p>
    <w:p>
      <w:pPr>
        <w:spacing w:after="120" w:before="0" w:line="360"/>
        <w:ind/>
        <w:jc w:val="both"/>
      </w:pPr>
      <w:r>
        <w:rPr>
          <w:rFonts w:ascii="Times New Roman" w:cs="Times New Roman" w:eastAsia="Times New Roman" w:hAnsi="Times New Roman"/>
          <w:sz w:val="24"/>
          <w:szCs w:val="24"/>
        </w:rPr>
        <w:t xml:space="preserve">3. EXPLICACIÓN — SHAP calcula los valores de contribución de cada variable en dos niveles: (a) importancia global en los clasificadores base (TreeSHAP), y (b) explicación local de la predicción final (KernelSHAP). Identifica las 3 dimensiones psicoemocionales más críticas para ese estudiante.</w:t>
      </w:r>
    </w:p>
    <w:p>
      <w:pPr>
        <w:spacing w:after="120" w:before="0" w:line="360"/>
        <w:ind/>
        <w:jc w:val="both"/>
      </w:pPr>
      <w:r>
        <w:rPr>
          <w:rFonts w:ascii="Times New Roman" w:cs="Times New Roman" w:eastAsia="Times New Roman" w:hAnsi="Times New Roman"/>
          <w:sz w:val="24"/>
          <w:szCs w:val="24"/>
        </w:rPr>
        <w:t xml:space="preserve">4. INTERVENCIÓN — La Ficha Atenea AI presenta al orientador: perfil de riesgo, dimensiones críticas priorizadas, valores SHAP visualizados y recomendaciones de intervención específicas.</w:t>
      </w:r>
    </w:p>
    <w:p>
      <w:pPr>
        <w:spacing w:after="120" w:before="0" w:line="360"/>
        <w:ind/>
        <w:jc w:val="both"/>
      </w:pPr>
      <w:r>
        <w:rPr>
          <w:rFonts w:ascii="Times New Roman" w:cs="Times New Roman" w:eastAsia="Times New Roman" w:hAnsi="Times New Roman"/>
          <w:sz w:val="24"/>
          <w:szCs w:val="24"/>
        </w:rPr>
        <w:t xml:space="preserve">5. RETROALIMENTACIÓN — El orientador documenta la intervención realizada. El sistema acumula datos para la mejora continua del modelo y del instrumento.</w:t>
      </w:r>
    </w:p>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B.4 — Métricas de rendimiento (datos sintéticos N=500, MVP)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70"/>
      </w:tblGrid>
      <w:tr>
        <w:trPr>
          <w:tblHeader/>
        </w:trPr>
        <w:tc>
          <w:tcPr>
            <w:tcW w:type="dxa" w:w="20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Métrica</w:t>
            </w:r>
          </w:p>
        </w:tc>
        <w:tc>
          <w:tcPr>
            <w:tcW w:type="dxa" w:w="15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RF</w:t>
            </w:r>
          </w:p>
        </w:tc>
        <w:tc>
          <w:tcPr>
            <w:tcW w:type="dxa" w:w="15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XGBoost</w:t>
            </w:r>
          </w:p>
        </w:tc>
        <w:tc>
          <w:tcPr>
            <w:tcW w:type="dxa" w:w="150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GB</w:t>
            </w:r>
          </w:p>
        </w:tc>
        <w:tc>
          <w:tcPr>
            <w:tcW w:type="dxa" w:w="2570"/>
            <w:tcBorders>
              <w:top w:val="single" w:color="CCCCCC" w:sz="4"/>
              <w:left w:val="single" w:color="CCCCCC" w:sz="4"/>
              <w:bottom w:val="single" w:color="CCCCCC" w:sz="4"/>
              <w:right w:val="single" w:color="CCCCCC" w:sz="4"/>
            </w:tcBorders>
            <w:shd w:fill="1A6B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Stacking (final)</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AUC-ROC</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0.96</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0.97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0.95</w:t>
            </w:r>
          </w:p>
        </w:tc>
        <w:tc>
          <w:tcPr>
            <w:tcW w:type="dxa" w:w="2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E7D5E"/>
                <w:sz w:val="20"/>
                <w:szCs w:val="20"/>
              </w:rPr>
              <w:t xml:space="preserve">0.985</w:t>
            </w:r>
          </w:p>
        </w:tc>
      </w:tr>
      <w:tr>
        <w:trPr>
          <w:tblHeader w:val="false"/>
        </w:trPr>
        <w:tc>
          <w:tcPr>
            <w:tcW w:type="dxa" w:w="20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Accuracy</w:t>
            </w:r>
          </w:p>
        </w:tc>
        <w:tc>
          <w:tcPr>
            <w:tcW w:type="dxa" w:w="1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91%</w:t>
            </w:r>
          </w:p>
        </w:tc>
        <w:tc>
          <w:tcPr>
            <w:tcW w:type="dxa" w:w="1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92%</w:t>
            </w:r>
          </w:p>
        </w:tc>
        <w:tc>
          <w:tcPr>
            <w:tcW w:type="dxa" w:w="1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90%</w:t>
            </w:r>
          </w:p>
        </w:tc>
        <w:tc>
          <w:tcPr>
            <w:tcW w:type="dxa" w:w="2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center"/>
            </w:pPr>
            <w:r>
              <w:rPr>
                <w:rFonts w:ascii="Times New Roman" w:cs="Times New Roman" w:eastAsia="Times New Roman" w:hAnsi="Times New Roman"/>
                <w:b/>
                <w:bCs/>
                <w:color w:val="2E7D5E"/>
                <w:sz w:val="20"/>
                <w:szCs w:val="20"/>
              </w:rPr>
              <w:t xml:space="preserve">94%</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F1-score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0.71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0.73</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0.69</w:t>
            </w:r>
          </w:p>
        </w:tc>
        <w:tc>
          <w:tcPr>
            <w:tcW w:type="dxa" w:w="2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E7D5E"/>
                <w:sz w:val="20"/>
                <w:szCs w:val="20"/>
              </w:rPr>
              <w:t xml:space="preserve">0.75</w:t>
            </w:r>
          </w:p>
        </w:tc>
      </w:tr>
      <w:tr>
        <w:trPr>
          <w:tblHeader w:val="false"/>
        </w:trPr>
        <w:tc>
          <w:tcPr>
            <w:tcW w:type="dxa" w:w="20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Recall (riesgo)</w:t>
            </w:r>
          </w:p>
        </w:tc>
        <w:tc>
          <w:tcPr>
            <w:tcW w:type="dxa" w:w="1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0.64</w:t>
            </w:r>
          </w:p>
        </w:tc>
        <w:tc>
          <w:tcPr>
            <w:tcW w:type="dxa" w:w="1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0.66</w:t>
            </w:r>
          </w:p>
        </w:tc>
        <w:tc>
          <w:tcPr>
            <w:tcW w:type="dxa" w:w="1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0.62</w:t>
            </w:r>
          </w:p>
        </w:tc>
        <w:tc>
          <w:tcPr>
            <w:tcW w:type="dxa" w:w="2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pPr>
              <w:jc w:val="center"/>
            </w:pPr>
            <w:r>
              <w:rPr>
                <w:rFonts w:ascii="Times New Roman" w:cs="Times New Roman" w:eastAsia="Times New Roman" w:hAnsi="Times New Roman"/>
                <w:b/>
                <w:bCs/>
                <w:color w:val="2E7D5E"/>
                <w:sz w:val="20"/>
                <w:szCs w:val="20"/>
              </w:rPr>
              <w:t xml:space="preserve">0.69</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Precisión (riesgo)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0.79</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0.81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0.77</w:t>
            </w:r>
          </w:p>
        </w:tc>
        <w:tc>
          <w:tcPr>
            <w:tcW w:type="dxa" w:w="2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2E7D5E"/>
                <w:sz w:val="20"/>
                <w:szCs w:val="20"/>
              </w:rPr>
              <w:t xml:space="preserve">0.82</w:t>
            </w:r>
          </w:p>
        </w:tc>
      </w:tr>
    </w:tbl>
    <w:p>
      <w:pPr>
        <w:spacing w:after="120" w:before="80"/>
      </w:pPr>
      <w:r>
        <w:rPr>
          <w:rFonts w:ascii="Times New Roman" w:cs="Times New Roman" w:eastAsia="Times New Roman" w:hAnsi="Times New Roman"/>
          <w:i/>
          <w:iCs/>
          <w:color w:val="666666"/>
          <w:sz w:val="18"/>
          <w:szCs w:val="18"/>
        </w:rPr>
        <w:t xml:space="preserve">Nota: métricas obtenidas en el prototipo MVP con datos sintéticos. Las métricas definitivas se calcularán tras la aplicación piloto con datos reales de estudiantes UAQ (N objetivo = 400).</w:t>
      </w:r>
    </w:p>
    <w:p>
      <w:pPr>
        <w:pageBreakBefore/>
        <w:spacing w:after="200" w:before="0"/>
      </w:pPr>
      <w:r>
        <w:rPr>
          <w:rFonts w:ascii="Times New Roman" w:cs="Times New Roman" w:eastAsia="Times New Roman" w:hAnsi="Times New Roman"/>
          <w:b/>
          <w:bCs/>
          <w:color w:val="1A6B5C"/>
          <w:sz w:val="36"/>
          <w:szCs w:val="36"/>
        </w:rPr>
        <w:t xml:space="preserve">ANEXO C</w:t>
      </w:r>
      <w:r>
        <w:rPr>
          <w:rFonts w:ascii="Times New Roman" w:cs="Times New Roman" w:eastAsia="Times New Roman" w:hAnsi="Times New Roman"/>
          <w:color w:val="AAAAAA"/>
          <w:sz w:val="28"/>
          <w:szCs w:val="28"/>
        </w:rPr>
        <w:t xml:space="preserve">  |  </w:t>
      </w:r>
      <w:r>
        <w:rPr>
          <w:rFonts w:ascii="Times New Roman" w:cs="Times New Roman" w:eastAsia="Times New Roman" w:hAnsi="Times New Roman"/>
          <w:b/>
          <w:bCs/>
          <w:color w:val="1A1A2E"/>
          <w:sz w:val="28"/>
          <w:szCs w:val="28"/>
        </w:rPr>
        <w:t xml:space="preserve">Algoritmos del Stacking Ensemble: descripción técnica</w:t>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C.1 — Random Forest (Capa 1 — Base 1)</w:t>
      </w:r>
    </w:p>
    <w:p>
      <w:pPr>
        <w:spacing w:after="120" w:before="0" w:line="360"/>
        <w:ind/>
        <w:jc w:val="both"/>
      </w:pPr>
      <w:r>
        <w:rPr>
          <w:rFonts w:ascii="Times New Roman" w:cs="Times New Roman" w:eastAsia="Times New Roman" w:hAnsi="Times New Roman"/>
          <w:sz w:val="24"/>
          <w:szCs w:val="24"/>
        </w:rPr>
        <w:t xml:space="preserve">Propuesto por Breiman (2001), el Random Forest (RF) es un método de bagging que construye T árboles de decisión en paralelo, cada uno entrenado en una submuestra bootstrap independiente del conjunto de datos. En cada nodo de cada árbol, la mejor división se busca sobre un subconjunto aleatorio de √p variables (donde p es el total de variables), lo que introduce diversidad estructural entre los árboles y reduce la correlación entre sus predicciones.</w:t>
      </w:r>
    </w:p>
    <w:p>
      <w:pPr>
        <w:spacing w:after="120" w:before="0" w:line="360"/>
        <w:ind/>
        <w:jc w:val="both"/>
      </w:pPr>
      <w:r>
        <w:rPr>
          <w:rFonts w:ascii="Times New Roman" w:cs="Times New Roman" w:eastAsia="Times New Roman" w:hAnsi="Times New Roman"/>
          <w:sz w:val="24"/>
          <w:szCs w:val="24"/>
        </w:rPr>
        <w:t xml:space="preserve">La predicción final del RF es la votación mayoritaria (clasificación) o el promedio (regresión) de las T predicciones individuales. Breiman demostró formalmente que el error de generalización converge a un límite superior cuando T → ∞, lo que implica inmunidad al sobreajuste al incrementar el número de árboles. El RF genera implícitamente importancia de variables (Mean Decrease Impurity) útil para el análisis de predictores psicoemocionales.</w:t>
      </w:r>
    </w:p>
    <w:p>
      <w:pPr>
        <w:spacing w:after="0" w:before="0"/>
      </w:pPr>
      <w:r>
        <w:rPr>
          <w:rFonts w:ascii="Times New Roman" w:cs="Times New Roman" w:eastAsia="Times New Roman" w:hAnsi="Times New Roman"/>
          <w:sz w:val="4"/>
          <w:szCs w:val="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CCCCCC" w:sz="4"/>
              <w:left w:val="single" w:color="CCCCCC" w:sz="4"/>
              <w:bottom w:val="single" w:color="CCCCCC" w:sz="4"/>
              <w:right w:val="single" w:color="CCCCCC" w:sz="4"/>
            </w:tcBorders>
            <w:shd w:fill="2E7D5E"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Parámetro</w:t>
            </w:r>
          </w:p>
        </w:tc>
        <w:tc>
          <w:tcPr>
            <w:tcW w:type="dxa" w:w="6570"/>
            <w:tcBorders>
              <w:top w:val="single" w:color="CCCCCC" w:sz="4"/>
              <w:left w:val="single" w:color="CCCCCC" w:sz="4"/>
              <w:bottom w:val="single" w:color="CCCCCC" w:sz="4"/>
              <w:right w:val="single" w:color="CCCCCC" w:sz="4"/>
            </w:tcBorders>
            <w:shd w:fill="2E7D5E"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Descripción y valor en el modelo</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n_estimators</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200 — Número de árboles; mayor T reduce varianza sin riesgo de sobreajuste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max_depth</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8 — Profundidad máxima de cada árbol; controla complejidad y reduce varianza</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max_features</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'sqrt' — Número de variables por nodo = √80 ≈ 9; garantiza diversidad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min_samples_leaf</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 — Mínimo de muestras por hoja; suaviza estimaciones</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class_weight</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'balanced' — Compensa desbalanceo de clases en datos de deserción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random_state</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42 — Semilla de aleatoriedad para reproducibilidad</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oob_score</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True — Validación out-of-bag para estimación de error sin CV separado</w:t>
            </w:r>
          </w:p>
        </w:tc>
      </w:tr>
    </w:tbl>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C.2 — XGBoost (Capa 1 — Base 2)</w:t>
      </w:r>
    </w:p>
    <w:p>
      <w:pPr>
        <w:spacing w:after="120" w:before="0" w:line="360"/>
        <w:ind/>
        <w:jc w:val="both"/>
      </w:pPr>
      <w:r>
        <w:rPr>
          <w:rFonts w:ascii="Times New Roman" w:cs="Times New Roman" w:eastAsia="Times New Roman" w:hAnsi="Times New Roman"/>
          <w:sz w:val="24"/>
          <w:szCs w:val="24"/>
        </w:rPr>
        <w:t xml:space="preserve">XGBoost (Chen &amp; Guestrin, 2016) es una implementación eficiente del gradient boosting que incorpora regularización L1 (λ) y L2 (α) en la función objetivo para controlar el sobreajuste, soporte nativo para datos dispersos y paralelización por columnas. El algoritmo construye los árboles de forma secuencial, donde cada árbol fm(x) aprende a corregir los residuos del conjunto F_{m-1}(x) minimizando el gradiente de una función de pérdida diferenciable.</w:t>
      </w:r>
    </w:p>
    <w:p>
      <w:pPr>
        <w:spacing w:after="120" w:before="0" w:line="360"/>
        <w:ind/>
        <w:jc w:val="both"/>
      </w:pPr>
      <w:r>
        <w:rPr>
          <w:rFonts w:ascii="Times New Roman" w:cs="Times New Roman" w:eastAsia="Times New Roman" w:hAnsi="Times New Roman"/>
          <w:sz w:val="24"/>
          <w:szCs w:val="24"/>
        </w:rPr>
        <w:t xml:space="preserve">XGBoost incorpora Newton Boosting (aproximación de segundo orden de Taylor de la función de pérdida) en lugar del descenso de gradiente de primer orden de los métodos GB clásicos, lo que acelera la convergencia y permite mayor precisión con menos iteraciones. Su arquitectura está optimizada para capturar interacciones complejas entre variables psicoemocionales que los modelos lineales no detectan.</w:t>
      </w:r>
    </w:p>
    <w:p>
      <w:pPr>
        <w:spacing w:after="0" w:before="0"/>
      </w:pPr>
      <w:r>
        <w:rPr>
          <w:rFonts w:ascii="Times New Roman" w:cs="Times New Roman" w:eastAsia="Times New Roman" w:hAnsi="Times New Roman"/>
          <w:sz w:val="4"/>
          <w:szCs w:val="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CCCCCC" w:sz="4"/>
              <w:left w:val="single" w:color="CCCCCC" w:sz="4"/>
              <w:bottom w:val="single" w:color="CCCCCC" w:sz="4"/>
              <w:right w:val="single" w:color="CCCCCC" w:sz="4"/>
            </w:tcBorders>
            <w:shd w:fill="2E7D5E"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Parámetro</w:t>
            </w:r>
          </w:p>
        </w:tc>
        <w:tc>
          <w:tcPr>
            <w:tcW w:type="dxa" w:w="6570"/>
            <w:tcBorders>
              <w:top w:val="single" w:color="CCCCCC" w:sz="4"/>
              <w:left w:val="single" w:color="CCCCCC" w:sz="4"/>
              <w:bottom w:val="single" w:color="CCCCCC" w:sz="4"/>
              <w:right w:val="single" w:color="CCCCCC" w:sz="4"/>
            </w:tcBorders>
            <w:shd w:fill="2E7D5E"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Descripción y valor en el modelo</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n_estimators</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300 — Número de rondas de boosting; con learning_rate bajo, más rondas mejoran precisión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learning_rate (η)</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0.05 — Tasa de aprendizaje; valores bajos requieren más árboles pero generalizan mejor</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max_depth</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5 — Profundidad máxima; controla la complejidad de interacciones capturadas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subsample</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0.8 — Fracción de muestras por árbol; introduce aleatoriedad (stochastic GB)</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colsample_bytree</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0.8 — Fracción de variables por árbol; reduce correlación entre árboles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reg_lambda (L2)</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 — Regularización L2 sobre pesos de hojas; penaliza modelos complejos</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reg_alpha (L1)</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0.1 — Regularización L1; produce hojas con peso cero (sparse)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scale_pos_weight</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ratio_neg/pos — Balancea clases automáticamente según frecuencias</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eval_metric</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'auc' — Métrica de evaluación interna en validación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early_stopping_rounds</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30 — Detiene entrenamiento si no mejora en 30 rondas</w:t>
            </w:r>
          </w:p>
        </w:tc>
      </w:tr>
    </w:tbl>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C.3 — Gradient Boosting (Capa 1 — Base 3)</w:t>
      </w:r>
    </w:p>
    <w:p>
      <w:pPr>
        <w:spacing w:after="120" w:before="0" w:line="360"/>
        <w:ind/>
        <w:jc w:val="both"/>
      </w:pPr>
      <w:r>
        <w:rPr>
          <w:rFonts w:ascii="Times New Roman" w:cs="Times New Roman" w:eastAsia="Times New Roman" w:hAnsi="Times New Roman"/>
          <w:sz w:val="24"/>
          <w:szCs w:val="24"/>
        </w:rPr>
        <w:t xml:space="preserve">El Gradient Boosting de Friedman (2001) opera construyendo el predictor como suma de funciones de regresión aditivas: F*(x) = Σ_{m=1}^{M} η·f_m(x), donde f_m es un árbol de regresión ajustado sobre el gradiente negativo de la función de pérdida en cada paso m. Esta formulación unifica múltiples algoritmos de machine learning (regresión logística, LAD, regresión Huber) como casos especiales con diferentes funciones de pérdida.</w:t>
      </w:r>
    </w:p>
    <w:p>
      <w:pPr>
        <w:spacing w:after="120" w:before="0" w:line="360"/>
        <w:ind/>
        <w:jc w:val="both"/>
      </w:pPr>
      <w:r>
        <w:rPr>
          <w:rFonts w:ascii="Times New Roman" w:cs="Times New Roman" w:eastAsia="Times New Roman" w:hAnsi="Times New Roman"/>
          <w:sz w:val="24"/>
          <w:szCs w:val="24"/>
        </w:rPr>
        <w:t xml:space="preserve">A diferencia de XGBoost, la implementación de sklearn de GB utiliza solo el gradiente de primer orden (sin la aproximación de Newton), lo que la hace computacionalmente más simple pero potencialmente más lenta en convergencia. Se incluye en el Stacking por su complementariedad con RF y XGBoost: cada modelo comete errores en instancias distintas, maximizando la diversidad que el meta-learner puede aprovechar.</w:t>
      </w:r>
    </w:p>
    <w:p>
      <w:pPr>
        <w:spacing w:after="0" w:before="0"/>
      </w:pPr>
      <w:r>
        <w:rPr>
          <w:rFonts w:ascii="Times New Roman" w:cs="Times New Roman" w:eastAsia="Times New Roman" w:hAnsi="Times New Roman"/>
          <w:sz w:val="4"/>
          <w:szCs w:val="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CCCCCC" w:sz="4"/>
              <w:left w:val="single" w:color="CCCCCC" w:sz="4"/>
              <w:bottom w:val="single" w:color="CCCCCC" w:sz="4"/>
              <w:right w:val="single" w:color="CCCCCC" w:sz="4"/>
            </w:tcBorders>
            <w:shd w:fill="2E7D5E"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Parámetro</w:t>
            </w:r>
          </w:p>
        </w:tc>
        <w:tc>
          <w:tcPr>
            <w:tcW w:type="dxa" w:w="6570"/>
            <w:tcBorders>
              <w:top w:val="single" w:color="CCCCCC" w:sz="4"/>
              <w:left w:val="single" w:color="CCCCCC" w:sz="4"/>
              <w:bottom w:val="single" w:color="CCCCCC" w:sz="4"/>
              <w:right w:val="single" w:color="CCCCCC" w:sz="4"/>
            </w:tcBorders>
            <w:shd w:fill="2E7D5E"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Descripción y valor en el modelo</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n_estimators</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200 — Número de árboles/etapas de boosting</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learning_rate</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0.10 — Tasa de contracción η; modera la contribución de cada árbol</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max_depth</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4 — Profundidad conservadora para evitar sobreajuste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subsample</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0.8 — Stochastic GB: cada árbol usa el 80% de las muestras</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min_samples_split</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10 — Número mínimo de muestras para dividir un nodo</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loss</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'log_loss' — Función de pérdida logística para clasificación binaria</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max_features</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'sqrt' — Aleatoriedad en selección de variables por nodo</w:t>
            </w:r>
          </w:p>
        </w:tc>
      </w:tr>
    </w:tbl>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C.4 — Protocolo de Stacking y prevención de data leakage</w:t>
      </w:r>
    </w:p>
    <w:p>
      <w:pPr>
        <w:spacing w:after="120" w:before="0" w:line="360"/>
        <w:ind/>
        <w:jc w:val="both"/>
      </w:pPr>
      <w:r>
        <w:rPr>
          <w:rFonts w:ascii="Times New Roman" w:cs="Times New Roman" w:eastAsia="Times New Roman" w:hAnsi="Times New Roman"/>
          <w:sz w:val="24"/>
          <w:szCs w:val="24"/>
        </w:rPr>
        <w:t xml:space="preserve">El procedimiento de stacking sigue el protocolo de Wolpert (1992) con k-fold cross-validation (k=10) estratificado para generar las meta-características de Capa 2 sin fuga de información (data leakage). El proceso es el siguiente:</w:t>
      </w:r>
    </w:p>
    <w:p>
      <w:pPr>
        <w:spacing w:after="120" w:before="0" w:line="360"/>
        <w:ind/>
        <w:jc w:val="both"/>
      </w:pPr>
      <w:r>
        <w:rPr>
          <w:rFonts w:ascii="Times New Roman" w:cs="Times New Roman" w:eastAsia="Times New Roman" w:hAnsi="Times New Roman"/>
          <w:sz w:val="24"/>
          <w:szCs w:val="24"/>
        </w:rPr>
        <w:t xml:space="preserve">Paso 1 — División del conjunto de entrenamiento: el conjunto de entrenamiento se divide en k=10 pliegues estratificados (misma proporción de clases en cada pliegue).</w:t>
      </w:r>
    </w:p>
    <w:p>
      <w:pPr>
        <w:spacing w:after="120" w:before="0" w:line="360"/>
        <w:ind/>
        <w:jc w:val="both"/>
      </w:pPr>
      <w:r>
        <w:rPr>
          <w:rFonts w:ascii="Times New Roman" w:cs="Times New Roman" w:eastAsia="Times New Roman" w:hAnsi="Times New Roman"/>
          <w:sz w:val="24"/>
          <w:szCs w:val="24"/>
        </w:rPr>
        <w:t xml:space="preserve">Paso 2 — Generación de meta-características: para cada pliegue k_i, los tres clasificadores base se entrenan en los k-1 pliegues restantes y predicen las probabilidades sobre k_i. Al iterar sobre todos los pliegues, cada instancia de entrenamiento recibe exactamente una predicción fuera de muestra (OOS). La matriz resultante es de dimensión N_train × 3.</w:t>
      </w:r>
    </w:p>
    <w:p>
      <w:pPr>
        <w:spacing w:after="120" w:before="0" w:line="360"/>
        <w:ind/>
        <w:jc w:val="both"/>
      </w:pPr>
      <w:r>
        <w:rPr>
          <w:rFonts w:ascii="Times New Roman" w:cs="Times New Roman" w:eastAsia="Times New Roman" w:hAnsi="Times New Roman"/>
          <w:sz w:val="24"/>
          <w:szCs w:val="24"/>
        </w:rPr>
        <w:t xml:space="preserve">Paso 3 — Entrenamiento del meta-learner: la FNN (Red Neuronal Feed-Forward) se entrena sobre la matriz N_train × 3 de meta-características, aprendiendo a combinarlas óptimamente para minimizar el error de clasificación final.</w:t>
      </w:r>
    </w:p>
    <w:p>
      <w:pPr>
        <w:spacing w:after="120" w:before="0" w:line="360"/>
        <w:ind/>
        <w:jc w:val="both"/>
      </w:pPr>
      <w:r>
        <w:rPr>
          <w:rFonts w:ascii="Times New Roman" w:cs="Times New Roman" w:eastAsia="Times New Roman" w:hAnsi="Times New Roman"/>
          <w:sz w:val="24"/>
          <w:szCs w:val="24"/>
        </w:rPr>
        <w:t xml:space="preserve">Paso 4 — Predicción en test: los tres clasificadores base (ya entrenados en el conjunto completo de entrenamiento) predicen sobre el conjunto de prueba, generando la matriz N_test × 3. La FNN produce la predicción final sobre esta matriz.</w:t>
      </w:r>
    </w:p>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C.5 — Meta-learner: Red Neuronal Feed-Forward (Capa 2)</w:t>
      </w:r>
    </w:p>
    <w:p>
      <w:pPr>
        <w:spacing w:after="120" w:before="0" w:line="360"/>
        <w:ind/>
        <w:jc w:val="both"/>
      </w:pPr>
      <w:r>
        <w:rPr>
          <w:rFonts w:ascii="Times New Roman" w:cs="Times New Roman" w:eastAsia="Times New Roman" w:hAnsi="Times New Roman"/>
          <w:sz w:val="24"/>
          <w:szCs w:val="24"/>
        </w:rPr>
        <w:t xml:space="preserve">El meta-learner es una Red Neuronal Feed-Forward (FNN) con arquitectura [3 → 32 → 16 → 8 → 1]. Toma como entrada los tres vectores de probabilidades de la Capa 1 y aprende una función de combinación no lineal que supera a cualquier combinación lineal fija (promedio o votación ponderada). La red utiliza activación ReLU en capas ocultas, Dropout (p=0.3) para regularización, y activación sigmoide en la capa de salida para clasificación binaria.</w:t>
      </w:r>
    </w:p>
    <w:p>
      <w:pPr>
        <w:spacing w:after="0" w:before="0"/>
      </w:pPr>
      <w:r>
        <w:rPr>
          <w:rFonts w:ascii="Times New Roman" w:cs="Times New Roman" w:eastAsia="Times New Roman" w:hAnsi="Times New Roman"/>
          <w:sz w:val="4"/>
          <w:szCs w:val="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CCCCCC" w:sz="4"/>
              <w:left w:val="single" w:color="CCCCCC" w:sz="4"/>
              <w:bottom w:val="single" w:color="CCCCCC" w:sz="4"/>
              <w:right w:val="single" w:color="CCCCCC" w:sz="4"/>
            </w:tcBorders>
            <w:shd w:fill="2E7D5E"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Parámetro</w:t>
            </w:r>
          </w:p>
        </w:tc>
        <w:tc>
          <w:tcPr>
            <w:tcW w:type="dxa" w:w="6570"/>
            <w:tcBorders>
              <w:top w:val="single" w:color="CCCCCC" w:sz="4"/>
              <w:left w:val="single" w:color="CCCCCC" w:sz="4"/>
              <w:bottom w:val="single" w:color="CCCCCC" w:sz="4"/>
              <w:right w:val="single" w:color="CCCCCC" w:sz="4"/>
            </w:tcBorders>
            <w:shd w:fill="2E7D5E"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Descripción y valor en el modelo</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Arquitectura</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[3 → 32 → 16 → 8 → 1] — 4 capas; 3 entradas = probabilidades de RF, XGBoost, GB</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Activación ocultas</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ReLU — Rectified Linear Unit; evita el problema de gradientes que desaparecen</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Activación salida</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Sigmoid — Produce probabilidad P(deserción) ∈ [0,1]</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Dropout</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p=0.3 en capas ocultas — Regularización; previene sobreajuste en conjunto pequeño</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Optimizer</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Adam (lr=0.001, β1=0.9, β2=0.999) — Gradiente adaptativo con momentum</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Loss function</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Binary Cross-Entropy — Pérdida estándar para clasificación binaria</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Batch size</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32 — Mini-batch; balance entre estabilidad y velocidad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Epochs</w:t>
            </w:r>
          </w:p>
        </w:tc>
        <w:tc>
          <w:tcPr>
            <w:tcW w:type="dxa" w:w="65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100 — Con EarlyStopping (patience=10) en val_loss; evita sobreajuste</w:t>
            </w:r>
          </w:p>
        </w:tc>
      </w:tr>
      <w:tr>
        <w:tc>
          <w:tcPr>
            <w:tcW w:type="dxa" w:w="250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class_weight</w:t>
            </w:r>
          </w:p>
        </w:tc>
        <w:tc>
          <w:tcPr>
            <w:tcW w:type="dxa" w:w="6570"/>
            <w:tcBorders>
              <w:top w:val="single" w:color="CCCCCC" w:sz="4"/>
              <w:left w:val="single" w:color="CCCCCC" w:sz="4"/>
              <w:bottom w:val="single" w:color="CCCCCC" w:sz="4"/>
              <w:right w:val="single" w:color="CCCCCC" w:sz="4"/>
            </w:tcBorders>
            <w:shd w:fill="E8F5F0" w:val="clear"/>
            <w:tcMar>
              <w:top w:type="dxa" w:w="60"/>
              <w:left w:type="dxa" w:w="100"/>
              <w:bottom w:type="dxa" w:w="60"/>
              <w:right w:type="dxa" w:w="100"/>
            </w:tcMar>
          </w:tcPr>
          <w:p>
            <w:r>
              <w:rPr>
                <w:rFonts w:ascii="Times New Roman" w:cs="Times New Roman" w:eastAsia="Times New Roman" w:hAnsi="Times New Roman"/>
                <w:sz w:val="20"/>
                <w:szCs w:val="20"/>
              </w:rPr>
              <w:t xml:space="preserve">Balanceado según frecuencia de clases — Compensa desbalanceo en datos reales</w:t>
            </w:r>
          </w:p>
        </w:tc>
      </w:tr>
    </w:tbl>
    <w:p>
      <w:pPr>
        <w:spacing w:after="0" w:before="0"/>
      </w:pPr>
      <w:r>
        <w:rPr>
          <w:rFonts w:ascii="Times New Roman" w:cs="Times New Roman" w:eastAsia="Times New Roman" w:hAnsi="Times New Roman"/>
          <w:sz w:val="4"/>
          <w:szCs w:val="4"/>
        </w:rPr>
        <w:t xml:space="preserve"/>
      </w:r>
    </w:p>
    <w:p>
      <w:pPr>
        <w:pBdr>
          <w:bottom w:val="single" w:color="1A6B5C" w:sz="4" w:space="2"/>
        </w:pBdr>
        <w:spacing w:after="100" w:before="240"/>
      </w:pPr>
      <w:r>
        <w:rPr>
          <w:rFonts w:ascii="Times New Roman" w:cs="Times New Roman" w:eastAsia="Times New Roman" w:hAnsi="Times New Roman"/>
          <w:b/>
          <w:bCs/>
          <w:color w:val="2E7D5E"/>
          <w:sz w:val="26"/>
          <w:szCs w:val="26"/>
        </w:rPr>
        <w:t xml:space="preserve">C.6 — XAI/SHAP: explicabilidad en dos niveles</w:t>
      </w:r>
    </w:p>
    <w:p>
      <w:pPr>
        <w:spacing w:after="120" w:before="0" w:line="360"/>
        <w:ind/>
        <w:jc w:val="both"/>
      </w:pPr>
      <w:r>
        <w:rPr>
          <w:rFonts w:ascii="Times New Roman" w:cs="Times New Roman" w:eastAsia="Times New Roman" w:hAnsi="Times New Roman"/>
          <w:sz w:val="24"/>
          <w:szCs w:val="24"/>
        </w:rPr>
        <w:t xml:space="preserve">El módulo de Explainable AI (XAI) implementa los Shapley Additive Explanations (SHAP) en dos niveles para garantizar que las predicciones del sistema sean interpretables por el orientador educativo, en cumplimiento con los principios éticos de la UNESCO (2021) y el marco DELICATE (Drachsler &amp; Greller, 2016).</w:t>
      </w:r>
    </w:p>
    <w:p>
      <w:pPr>
        <w:spacing w:after="120" w:before="0" w:line="360"/>
        <w:ind/>
        <w:jc w:val="both"/>
      </w:pPr>
      <w:r>
        <w:rPr>
          <w:rFonts w:ascii="Times New Roman" w:cs="Times New Roman" w:eastAsia="Times New Roman" w:hAnsi="Times New Roman"/>
          <w:sz w:val="24"/>
          <w:szCs w:val="24"/>
        </w:rPr>
        <w:t xml:space="preserve">Nivel 1 — TreeSHAP en clasificadores base (Lundberg et al., 2020): calcula los valores SHAP exactos para RF, XGBoost y GB explotando la estructura arbórea. Tiempo computacional O(TLD²) donde T=árboles, L=hojas, D=profundidad. Produce: (a) summary_plot con importancia global de las 80 variables, y (b) force_plot con explicación local por estudiante para cada clasificador base.</w:t>
      </w:r>
    </w:p>
    <w:p>
      <w:pPr>
        <w:spacing w:after="120" w:before="0" w:line="360"/>
        <w:ind/>
        <w:jc w:val="both"/>
      </w:pPr>
      <w:r>
        <w:rPr>
          <w:rFonts w:ascii="Times New Roman" w:cs="Times New Roman" w:eastAsia="Times New Roman" w:hAnsi="Times New Roman"/>
          <w:sz w:val="24"/>
          <w:szCs w:val="24"/>
        </w:rPr>
        <w:t xml:space="preserve">Nivel 2 — KernelSHAP en el meta-learner FNN (Lundberg &amp; Lee, 2017): aproxima los valores SHAP para la FNN usando muestreo de coaliciones. Es agnóstico al modelo, pero más lento (O(n_samples × 2^n_features)); se aplica sobre las 3 meta-características de entrada (no las 80 originales), manteniendo el costo computacional bajo. Produce la explicación final de la predicción de riesgo en términos de las tres dimensiones psicoemocionales más influyentes para ese estudiante específico.</w:t>
      </w:r>
    </w:p>
    <w:sectPr>
      <w:headerReference w:type="default" r:id="rId7"/>
      <w:footerReference w:type="default" r:id="rId8"/>
      <w:pgSz w:w="11906" w:h="16838" w:orient="portrait"/>
      <w:pgMar w:top="1418" w:right="1418" w:bottom="16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120"/>
      <w:jc w:val="right"/>
    </w:pPr>
    <w:r>
      <w:rPr>
        <w:rFonts w:ascii="Times New Roman" w:cs="Times New Roman" w:eastAsia="Times New Roman" w:hAnsi="Times New Roman"/>
        <w:color w:val="888888"/>
        <w:sz w:val="18"/>
        <w:szCs w:val="18"/>
      </w:rPr>
      <w:t xml:space="preserve">Anexos — Tesis DTE-UAQ | Luis Francisco Pardo Pera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2026-06-09T17:32:31.431Z</dcterms:created>
  <dcterms:modified xsi:type="dcterms:W3CDTF">2026-06-09T17:32:31.431Z</dcterms:modified>
</cp:coreProperties>
</file>

<file path=docProps/custom.xml><?xml version="1.0" encoding="utf-8"?>
<Properties xmlns="http://schemas.openxmlformats.org/officeDocument/2006/custom-properties" xmlns:vt="http://schemas.openxmlformats.org/officeDocument/2006/docPropsVTypes"/>
</file>