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2"/>
          <w:szCs w:val="32"/>
        </w:rPr>
        <w:t xml:space="preserve">ESTRATEGIA DE DEFENSA DEL REDISEÑO DOCTORAL</w:t>
      </w:r>
    </w:p>
    <w:p>
      <w:pPr>
        <w:spacing w:after="60" w:before="0"/>
        <w:jc w:val="center"/>
      </w:pPr>
      <w:r>
        <w:rPr>
          <w:rFonts w:ascii="Arial" w:cs="Arial" w:eastAsia="Arial" w:hAnsi="Arial"/>
          <w:color w:val="595959"/>
          <w:sz w:val="22"/>
          <w:szCs w:val="22"/>
        </w:rPr>
        <w:t xml:space="preserve">Tabla analítica: Limitantes de la Tecnología Educativa y contribución de la tesis</w:t>
      </w:r>
    </w:p>
    <w:p>
      <w:pPr>
        <w:spacing w:after="200" w:before="0"/>
        <w:jc w:val="center"/>
      </w:pPr>
      <w:r>
        <w:rPr>
          <w:rFonts w:ascii="Arial" w:cs="Arial" w:eastAsia="Arial" w:hAnsi="Arial"/>
          <w:color w:val="595959"/>
          <w:sz w:val="20"/>
          <w:szCs w:val="20"/>
        </w:rPr>
        <w:t xml:space="preserve">Preparado para reunión con directora de tesis — DTE / UAQ — Abril 2026</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7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Limitante</w:t>
            </w:r>
          </w:p>
        </w:tc>
        <w:tc>
          <w:tcPr>
            <w:tcW w:type="dxa" w:w="3600"/>
            <w:tcBorders>
              <w:top w:val="single" w:color="1F3864" w:sz="1"/>
              <w:left w:val="single" w:color="1F3864" w:sz="1"/>
              <w:bottom w:val="single" w:color="1F3864" w:sz="1"/>
              <w:right w:val="single" w:color="1F3864" w:sz="1"/>
            </w:tcBorders>
            <w:shd w:fill="1F3864"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Evidencia en la literatura</w:t>
            </w:r>
          </w:p>
        </w:tc>
        <w:tc>
          <w:tcPr>
            <w:tcW w:type="dxa" w:w="7760"/>
            <w:tcBorders>
              <w:top w:val="single" w:color="375623" w:sz="1"/>
              <w:left w:val="single" w:color="375623" w:sz="1"/>
              <w:bottom w:val="single" w:color="375623" w:sz="1"/>
              <w:right w:val="single" w:color="375623" w:sz="1"/>
            </w:tcBorders>
            <w:shd w:fill="375623"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¿Cómo contribuyen los objetivos de mi tesis a resolver estas limitantes?</w:t>
            </w:r>
          </w:p>
        </w:tc>
      </w:tr>
      <w:tr>
        <w:tc>
          <w:tcPr>
            <w:tcW w:type="dxa" w:w="1600"/>
            <w:tcBorders>
              <w:top w:val="single" w:color="D6E4F7" w:sz="1"/>
              <w:left w:val="single" w:color="D6E4F7" w:sz="1"/>
              <w:bottom w:val="single" w:color="D6E4F7" w:sz="1"/>
              <w:right w:val="single" w:color="D6E4F7" w:sz="1"/>
            </w:tcBorders>
            <w:shd w:fill="D6E4F7" w:val="clear"/>
            <w:tcMar>
              <w:top w:type="dxa" w:w="100"/>
              <w:left w:type="dxa" w:w="140"/>
              <w:bottom w:type="dxa" w:w="100"/>
              <w:right w:type="dxa" w:w="140"/>
            </w:tcMar>
            <w:vAlign w:val="center"/>
          </w:tcPr>
          <w:p>
            <w:pPr>
              <w:spacing w:after="80" w:before="0" w:line="276"/>
              <w:jc w:val="center"/>
            </w:pPr>
            <w:r>
              <w:rPr>
                <w:rFonts w:ascii="Arial" w:cs="Arial" w:eastAsia="Arial" w:hAnsi="Arial"/>
                <w:b/>
                <w:bCs/>
                <w:color w:val="1F3864"/>
                <w:sz w:val="18"/>
                <w:szCs w:val="18"/>
              </w:rPr>
              <w:t xml:space="preserve">Limitantes
conceptuales
y teóricas</w:t>
            </w:r>
          </w:p>
        </w:tc>
        <w:tc>
          <w:tcPr>
            <w:tcW w:type="dxa" w:w="36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top"/>
          </w:tcPr>
          <w:p>
            <w:pPr>
              <w:spacing w:after="80" w:before="0" w:line="276"/>
              <w:jc w:val="both"/>
            </w:pPr>
            <w:r>
              <w:rPr>
                <w:rFonts w:ascii="Arial" w:cs="Arial" w:eastAsia="Arial" w:hAnsi="Arial"/>
                <w:b w:val="false"/>
                <w:bCs w:val="false"/>
                <w:color w:val="000000"/>
                <w:sz w:val="17"/>
                <w:szCs w:val="17"/>
              </w:rPr>
              <w:t xml:space="preserve">La tecnología educativa suele centrarse en 'productos' más que en procesos profundos de aprendizaje, ignorando la calidad de las interacciones, la motivación o el pensamiento crítico. (Gouraige &amp; Agramonte, 2002)</w:t>
            </w:r>
          </w:p>
          <w:p>
            <w:pPr>
              <w:spacing w:after="80" w:before="0" w:line="276"/>
              <w:jc w:val="both"/>
            </w:pPr>
            <w:r>
              <w:rPr>
                <w:rFonts w:ascii="Arial" w:cs="Arial" w:eastAsia="Arial" w:hAnsi="Arial"/>
                <w:b w:val="false"/>
                <w:bCs w:val="false"/>
                <w:color w:val="000000"/>
                <w:sz w:val="17"/>
                <w:szCs w:val="17"/>
              </w:rPr>
              <w:t xml:space="preserve">Desde la IBD, muchos estudios no integran con claridad teorías del aprendizaje, lo que debilita la validez explicativa y la posibilidad de generalizar resultados. (Serrano, 2021)</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80" w:before="0" w:line="276"/>
              <w:jc w:val="both"/>
            </w:pPr>
            <w:r>
              <w:rPr>
                <w:rFonts w:ascii="Arial" w:cs="Arial" w:eastAsia="Arial" w:hAnsi="Arial"/>
                <w:b/>
                <w:bCs/>
                <w:color w:val="1F3864"/>
                <w:sz w:val="18"/>
                <w:szCs w:val="18"/>
              </w:rPr>
              <w:t xml:space="preserve">Contribución directa: OE1 + OE3</w:t>
            </w:r>
          </w:p>
          <w:p>
            <w:pPr>
              <w:spacing w:after="100" w:before="0" w:line="276"/>
              <w:jc w:val="both"/>
            </w:pPr>
            <w:r>
              <w:rPr>
                <w:rFonts w:ascii="Arial" w:cs="Arial" w:eastAsia="Arial" w:hAnsi="Arial"/>
                <w:b w:val="false"/>
                <w:bCs w:val="false"/>
                <w:color w:val="000000"/>
                <w:sz w:val="18"/>
                <w:szCs w:val="18"/>
              </w:rPr>
              <w:t xml:space="preserve">La propuesta del Sistema Instrumental Psicotécnico (SIP) responde a esta limitante desde su fundamento ontológico. El SIP no es una plataforma, una aplicación ni un recurso: es la integración retroalimentativa de todos los sistemas que constituyen el proceso de mediación entre el sujeto, la herramienta y el contexto educativo (Béguin &amp; Rabardel, 2000). Este desplazamiento —del producto al proceso de mediación— aborda directamente la crítica de Gouraige y Agramonte (2002), pues recupera como dimensiones constitutivas del sistema la calidad de la interacción, la motivación y el andamiaje cognitivo, que en los enfoques centrados en productos quedan reducidos a variables secundarias o simplemente ignorados.</w:t>
            </w:r>
          </w:p>
          <w:p>
            <w:pPr>
              <w:spacing w:after="60" w:before="0" w:line="276"/>
              <w:jc w:val="both"/>
            </w:pPr>
            <w:r>
              <w:rPr>
                <w:rFonts w:ascii="Arial" w:cs="Arial" w:eastAsia="Arial" w:hAnsi="Arial"/>
                <w:b w:val="false"/>
                <w:bCs w:val="false"/>
                <w:color w:val="000000"/>
                <w:sz w:val="18"/>
                <w:szCs w:val="18"/>
              </w:rPr>
              <w:t xml:space="preserve">Adicionalmente, la tesis integra con explicitez dos marcos teóricos del aprendizaje de alcance reconocido:</w:t>
            </w:r>
          </w:p>
          <w:p>
            <w:pPr>
              <w:pStyle w:val="ListParagraph"/>
              <w:numPr>
                <w:ilvl w:val="0"/>
                <w:numId w:val="2"/>
              </w:numPr>
              <w:spacing w:after="50"/>
            </w:pPr>
            <w:r>
              <w:rPr>
                <w:rFonts w:ascii="Arial" w:cs="Arial" w:eastAsia="Arial" w:hAnsi="Arial"/>
                <w:b w:val="false"/>
                <w:bCs w:val="false"/>
                <w:color w:val="000000"/>
                <w:sz w:val="18"/>
                <w:szCs w:val="18"/>
              </w:rPr>
              <w:t xml:space="preserve">La Teoría de la Actividad (Kaptelinin, 1996; Vygotsky, 1930), que sitúa al SIP en una jerarquía analítica —actividad → tarea → acción → operación → bloque funcional— que permite comprender los procesos de aprendizaje en su complejidad sociocultural.</w:t>
            </w:r>
          </w:p>
          <w:p>
            <w:pPr>
              <w:pStyle w:val="ListParagraph"/>
              <w:numPr>
                <w:ilvl w:val="0"/>
                <w:numId w:val="2"/>
              </w:numPr>
              <w:spacing w:after="50"/>
            </w:pPr>
            <w:r>
              <w:rPr>
                <w:rFonts w:ascii="Arial" w:cs="Arial" w:eastAsia="Arial" w:hAnsi="Arial"/>
                <w:b w:val="false"/>
                <w:bCs w:val="false"/>
                <w:color w:val="000000"/>
                <w:sz w:val="18"/>
                <w:szCs w:val="18"/>
              </w:rPr>
              <w:t xml:space="preserve">El posthumanismo crítico (Braidotti, 2019), que ofrece el marco epistémico para analizar la subjetividad co-construida en entornos donde lo humano y lo tecnológico se articulan de manera indisoluble.</w:t>
            </w:r>
          </w:p>
          <w:p>
            <w:pPr>
              <w:spacing w:after="80" w:before="0"/>
            </w:pPr>
            <w:r>
              <w:t xml:space="preserve"/>
            </w:r>
          </w:p>
          <w:p>
            <w:pPr>
              <w:spacing w:after="0" w:before="0" w:line="276"/>
              <w:jc w:val="both"/>
            </w:pPr>
            <w:r>
              <w:rPr>
                <w:rFonts w:ascii="Arial" w:cs="Arial" w:eastAsia="Arial" w:hAnsi="Arial"/>
                <w:b w:val="false"/>
                <w:bCs w:val="false"/>
                <w:color w:val="000000"/>
                <w:sz w:val="18"/>
                <w:szCs w:val="18"/>
              </w:rPr>
              <w:t xml:space="preserve">Esta doble fundamentación responde directamente a Serrano (2021): la tesis no solo utiliza teoría del aprendizaje, la produce. El OE1 genera un nuevo concepto científico legitimado mediante cartografía conceptual (Tobón, 2012), enriqueciendo el vocabulario teórico de la tecnología educativa con una unidad de análisis epistemológicamente fundada. Esa es la diferencia entre estudios que citan teoría y estudios que la desarrollan.</w:t>
            </w:r>
          </w:p>
        </w:tc>
      </w:tr>
      <w:tr>
        <w:tc>
          <w:tcPr>
            <w:tcW w:type="dxa" w:w="1600"/>
            <w:tcBorders>
              <w:top w:val="single" w:color="FFF2CC" w:sz="1"/>
              <w:left w:val="single" w:color="FFF2CC" w:sz="1"/>
              <w:bottom w:val="single" w:color="FFF2CC" w:sz="1"/>
              <w:right w:val="single" w:color="FFF2CC" w:sz="1"/>
            </w:tcBorders>
            <w:shd w:fill="FFF2CC" w:val="clear"/>
            <w:tcMar>
              <w:top w:type="dxa" w:w="100"/>
              <w:left w:type="dxa" w:w="140"/>
              <w:bottom w:type="dxa" w:w="100"/>
              <w:right w:type="dxa" w:w="140"/>
            </w:tcMar>
            <w:vAlign w:val="center"/>
          </w:tcPr>
          <w:p>
            <w:pPr>
              <w:spacing w:after="80" w:before="0" w:line="276"/>
              <w:jc w:val="center"/>
            </w:pPr>
            <w:r>
              <w:rPr>
                <w:rFonts w:ascii="Arial" w:cs="Arial" w:eastAsia="Arial" w:hAnsi="Arial"/>
                <w:b/>
                <w:bCs/>
                <w:color w:val="7F6000"/>
                <w:sz w:val="18"/>
                <w:szCs w:val="18"/>
              </w:rPr>
              <w:t xml:space="preserve">Limitantes
metodológicas</w:t>
            </w:r>
          </w:p>
        </w:tc>
        <w:tc>
          <w:tcPr>
            <w:tcW w:type="dxa" w:w="36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top"/>
          </w:tcPr>
          <w:p>
            <w:pPr>
              <w:spacing w:after="80" w:before="0" w:line="276"/>
              <w:jc w:val="both"/>
            </w:pPr>
            <w:r>
              <w:rPr>
                <w:rFonts w:ascii="Arial" w:cs="Arial" w:eastAsia="Arial" w:hAnsi="Arial"/>
                <w:b w:val="false"/>
                <w:bCs w:val="false"/>
                <w:color w:val="000000"/>
                <w:sz w:val="17"/>
                <w:szCs w:val="17"/>
              </w:rPr>
              <w:t xml:space="preserve">La IBD busca mejorar prácticas reales, pero la tecnología educativa se evalúa frecuentemente en entornos controlados o a corto plazo, limitando la comprensión de su impacto sostenible. (De Benito Crosetti &amp; Ibáñez, 2016)</w:t>
            </w:r>
          </w:p>
          <w:p>
            <w:pPr>
              <w:spacing w:after="80" w:before="0" w:line="276"/>
              <w:jc w:val="both"/>
            </w:pPr>
            <w:r>
              <w:rPr>
                <w:rFonts w:ascii="Arial" w:cs="Arial" w:eastAsia="Arial" w:hAnsi="Arial"/>
                <w:b w:val="false"/>
                <w:bCs w:val="false"/>
                <w:color w:val="000000"/>
                <w:sz w:val="17"/>
                <w:szCs w:val="17"/>
              </w:rPr>
              <w:t xml:space="preserve">Muchos estudios siguen el modelo comparativo de medios ('con tecnología vs. sin tecnología'), ignorando el proceso de diseño y dificultando la generación de principios robustos. (Easterday et al., 2018)</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80" w:before="0" w:line="276"/>
              <w:jc w:val="both"/>
            </w:pPr>
            <w:r>
              <w:rPr>
                <w:rFonts w:ascii="Arial" w:cs="Arial" w:eastAsia="Arial" w:hAnsi="Arial"/>
                <w:b/>
                <w:bCs/>
                <w:color w:val="1F3864"/>
                <w:sz w:val="18"/>
                <w:szCs w:val="18"/>
              </w:rPr>
              <w:t xml:space="preserve">Contribución directa: OE2 + OE4</w:t>
            </w:r>
          </w:p>
          <w:p>
            <w:pPr>
              <w:spacing w:after="100" w:before="0" w:line="276"/>
              <w:jc w:val="both"/>
            </w:pPr>
            <w:r>
              <w:rPr>
                <w:rFonts w:ascii="Arial" w:cs="Arial" w:eastAsia="Arial" w:hAnsi="Arial"/>
                <w:b w:val="false"/>
                <w:bCs w:val="false"/>
                <w:color w:val="000000"/>
                <w:sz w:val="18"/>
                <w:szCs w:val="18"/>
              </w:rPr>
              <w:t xml:space="preserve">Frente a la evaluación en contextos controlados y de corto plazo (De Benito Crosetti &amp; Ibáñez, 2016), esta tesis opera en dos capas iterativas documentadas en un escenario real: educación superior en Querétaro, con instrumentos validados (SF-12, escalas psicoemocionales) y datos genuinos de riesgo de abandono. Más aún, la estructura de doble capa IBD —diseño inicial (Capa 1) y su rediseño fundamentado (Capa 2)— es en sí misma evidencia empírica del proceso iterativo que la IBD exige en condiciones auténticas. El redesño no es una corrección del rumbo, sino el producto esperado del ciclo: aprender del primer diseño para profundizarlo.</w:t>
            </w:r>
          </w:p>
          <w:p>
            <w:pPr>
              <w:spacing w:after="60" w:before="0" w:line="276"/>
              <w:jc w:val="both"/>
            </w:pPr>
            <w:r>
              <w:rPr>
                <w:rFonts w:ascii="Arial" w:cs="Arial" w:eastAsia="Arial" w:hAnsi="Arial"/>
                <w:b w:val="false"/>
                <w:bCs w:val="false"/>
                <w:color w:val="000000"/>
                <w:sz w:val="18"/>
                <w:szCs w:val="18"/>
              </w:rPr>
              <w:t xml:space="preserve">Frente al modelo comparativo de medios (Easterday et al., 2018), la tesis adopta un enfoque epistemológicamente distinto:</w:t>
            </w:r>
          </w:p>
          <w:p>
            <w:pPr>
              <w:pStyle w:val="ListParagraph"/>
              <w:numPr>
                <w:ilvl w:val="0"/>
                <w:numId w:val="2"/>
              </w:numPr>
              <w:spacing w:after="50"/>
            </w:pPr>
            <w:r>
              <w:rPr>
                <w:rFonts w:ascii="Arial" w:cs="Arial" w:eastAsia="Arial" w:hAnsi="Arial"/>
                <w:b w:val="false"/>
                <w:bCs w:val="false"/>
                <w:color w:val="000000"/>
                <w:sz w:val="18"/>
                <w:szCs w:val="18"/>
              </w:rPr>
              <w:t xml:space="preserve">No compara el SIP 'con tecnología vs. sin tecnología', sino que analiza el proceso de diseño, implementación y génesis instrumental del sistema completo.</w:t>
            </w:r>
          </w:p>
          <w:p>
            <w:pPr>
              <w:pStyle w:val="ListParagraph"/>
              <w:numPr>
                <w:ilvl w:val="0"/>
                <w:numId w:val="2"/>
              </w:numPr>
              <w:spacing w:after="50"/>
            </w:pPr>
            <w:r>
              <w:rPr>
                <w:rFonts w:ascii="Arial" w:cs="Arial" w:eastAsia="Arial" w:hAnsi="Arial"/>
                <w:b w:val="false"/>
                <w:bCs w:val="false"/>
                <w:color w:val="000000"/>
                <w:sz w:val="18"/>
                <w:szCs w:val="18"/>
              </w:rPr>
              <w:t xml:space="preserve">El OE2 incorpora el análisis epistemológico (Chi, 1992; Leach, Ametller &amp; Scott, 2010) como herramienta de diseño —no de evaluación ex post—, lo que permite comprender la estructura epistémica del fenómeno antes de implementar soluciones técnicas.</w:t>
            </w:r>
          </w:p>
          <w:p>
            <w:pPr>
              <w:pStyle w:val="ListParagraph"/>
              <w:numPr>
                <w:ilvl w:val="0"/>
                <w:numId w:val="2"/>
              </w:numPr>
              <w:spacing w:after="50"/>
            </w:pPr>
            <w:r>
              <w:rPr>
                <w:rFonts w:ascii="Arial" w:cs="Arial" w:eastAsia="Arial" w:hAnsi="Arial"/>
                <w:b w:val="false"/>
                <w:bCs w:val="false"/>
                <w:color w:val="000000"/>
                <w:sz w:val="18"/>
                <w:szCs w:val="18"/>
              </w:rPr>
              <w:t xml:space="preserve">El OE4 tiene como producto explícito la documentación de principios de diseño robustos y transferibles, respondiendo directamente a la demanda de Easterday et al. (2018) de que la investigación en diseño produzca contribución teórica generalizable, no solo resultados situados.</w:t>
            </w:r>
          </w:p>
          <w:p>
            <w:pPr>
              <w:spacing w:after="80" w:before="0"/>
            </w:pPr>
            <w:r>
              <w:t xml:space="preserve"/>
            </w:r>
          </w:p>
          <w:p>
            <w:pPr>
              <w:spacing w:after="0" w:before="0" w:line="276"/>
              <w:jc w:val="both"/>
            </w:pPr>
            <w:r>
              <w:rPr>
                <w:rFonts w:ascii="Arial" w:cs="Arial" w:eastAsia="Arial" w:hAnsi="Arial"/>
                <w:b w:val="false"/>
                <w:bCs w:val="false"/>
                <w:color w:val="000000"/>
                <w:sz w:val="18"/>
                <w:szCs w:val="18"/>
              </w:rPr>
              <w:t xml:space="preserve">En síntesis: la metodología de esta tesis no evalúa tecnología —diseña y documenta sistemas de mediación. Esa distinción es el aporte metodológico central.</w:t>
            </w:r>
          </w:p>
        </w:tc>
      </w:tr>
      <w:tr>
        <w:tc>
          <w:tcPr>
            <w:tcW w:type="dxa" w:w="1600"/>
            <w:tcBorders>
              <w:top w:val="single" w:color="E2EFDA" w:sz="1"/>
              <w:left w:val="single" w:color="E2EFDA" w:sz="1"/>
              <w:bottom w:val="single" w:color="E2EFDA" w:sz="1"/>
              <w:right w:val="single" w:color="E2EFDA" w:sz="1"/>
            </w:tcBorders>
            <w:shd w:fill="E2EFDA" w:val="clear"/>
            <w:tcMar>
              <w:top w:type="dxa" w:w="100"/>
              <w:left w:type="dxa" w:w="140"/>
              <w:bottom w:type="dxa" w:w="100"/>
              <w:right w:type="dxa" w:w="140"/>
            </w:tcMar>
            <w:vAlign w:val="center"/>
          </w:tcPr>
          <w:p>
            <w:pPr>
              <w:spacing w:after="80" w:before="0" w:line="276"/>
              <w:jc w:val="center"/>
            </w:pPr>
            <w:r>
              <w:rPr>
                <w:rFonts w:ascii="Arial" w:cs="Arial" w:eastAsia="Arial" w:hAnsi="Arial"/>
                <w:b/>
                <w:bCs/>
                <w:color w:val="375623"/>
                <w:sz w:val="18"/>
                <w:szCs w:val="18"/>
              </w:rPr>
              <w:t xml:space="preserve">Limitantes
prácticas y
contextuales</w:t>
            </w:r>
          </w:p>
        </w:tc>
        <w:tc>
          <w:tcPr>
            <w:tcW w:type="dxa" w:w="36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top"/>
          </w:tcPr>
          <w:p>
            <w:pPr>
              <w:spacing w:after="80" w:before="0" w:line="276"/>
              <w:jc w:val="both"/>
            </w:pPr>
            <w:r>
              <w:rPr>
                <w:rFonts w:ascii="Arial" w:cs="Arial" w:eastAsia="Arial" w:hAnsi="Arial"/>
                <w:b w:val="false"/>
                <w:bCs w:val="false"/>
                <w:color w:val="000000"/>
                <w:sz w:val="17"/>
                <w:szCs w:val="17"/>
              </w:rPr>
              <w:t xml:space="preserve">La brecha digital y la falta de infraestructura restringen la aplicabilidad de muchas innovaciones que la IBD pretende generalizar. (Brodowicz, 2024)</w:t>
            </w:r>
          </w:p>
          <w:p>
            <w:pPr>
              <w:spacing w:after="80" w:before="0" w:line="276"/>
              <w:jc w:val="both"/>
            </w:pPr>
            <w:r>
              <w:rPr>
                <w:rFonts w:ascii="Arial" w:cs="Arial" w:eastAsia="Arial" w:hAnsi="Arial"/>
                <w:b w:val="false"/>
                <w:bCs w:val="false"/>
                <w:color w:val="000000"/>
                <w:sz w:val="17"/>
                <w:szCs w:val="17"/>
              </w:rPr>
              <w:t xml:space="preserve">La resistencia docente, la formación insuficiente y la escasa integración curricular dificultan la implementación fiel de los diseños investigados. (Reyes, 2025)</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80" w:before="0" w:line="276"/>
              <w:jc w:val="both"/>
            </w:pPr>
            <w:r>
              <w:rPr>
                <w:rFonts w:ascii="Arial" w:cs="Arial" w:eastAsia="Arial" w:hAnsi="Arial"/>
                <w:b/>
                <w:bCs/>
                <w:color w:val="1F3864"/>
                <w:sz w:val="18"/>
                <w:szCs w:val="18"/>
              </w:rPr>
              <w:t xml:space="preserve">Contribución directa: OE3 + OE5</w:t>
            </w:r>
          </w:p>
          <w:p>
            <w:pPr>
              <w:spacing w:after="100" w:before="0" w:line="276"/>
              <w:jc w:val="both"/>
            </w:pPr>
            <w:r>
              <w:rPr>
                <w:rFonts w:ascii="Arial" w:cs="Arial" w:eastAsia="Arial" w:hAnsi="Arial"/>
                <w:b w:val="false"/>
                <w:bCs w:val="false"/>
                <w:color w:val="000000"/>
                <w:sz w:val="18"/>
                <w:szCs w:val="18"/>
              </w:rPr>
              <w:t xml:space="preserve">Esta tesis no pretende resolver la brecha digital, que es un problema estructural de política pública que trasciende el alcance de cualquier investigación doctoral. Sin embargo, articula respuestas concretas que mitigan su impacto en la transferibilidad de los resultados.</w:t>
            </w:r>
          </w:p>
          <w:p>
            <w:pPr>
              <w:spacing w:after="60" w:before="0" w:line="276"/>
              <w:jc w:val="both"/>
            </w:pPr>
            <w:r>
              <w:rPr>
                <w:rFonts w:ascii="Arial" w:cs="Arial" w:eastAsia="Arial" w:hAnsi="Arial"/>
                <w:b/>
                <w:bCs/>
                <w:color w:val="000000"/>
                <w:sz w:val="18"/>
                <w:szCs w:val="18"/>
              </w:rPr>
              <w:t xml:space="preserve">Respecto a la infraestructura (Brodowicz, 2024):</w:t>
            </w:r>
          </w:p>
          <w:p>
            <w:pPr>
              <w:pStyle w:val="ListParagraph"/>
              <w:numPr>
                <w:ilvl w:val="0"/>
                <w:numId w:val="2"/>
              </w:numPr>
              <w:spacing w:after="50"/>
            </w:pPr>
            <w:r>
              <w:rPr>
                <w:rFonts w:ascii="Arial" w:cs="Arial" w:eastAsia="Arial" w:hAnsi="Arial"/>
                <w:b w:val="false"/>
                <w:bCs w:val="false"/>
                <w:color w:val="000000"/>
                <w:sz w:val="18"/>
                <w:szCs w:val="18"/>
              </w:rPr>
              <w:t xml:space="preserve">El componente computacional del SIPTech (OE3) opera sobre variables psicoemocionales recabadas mediante instrumentos de bajo costo tecnológico —escalas Likert, SF-12— que no requieren conectividad permanente ni infraestructura especializada en la fase de recolección. La dependencia tecnológica se concentra únicamente en el procesamiento posterior, que puede realizarse de manera centralizada.</w:t>
            </w:r>
          </w:p>
          <w:p>
            <w:pPr>
              <w:spacing w:after="80" w:before="0"/>
            </w:pPr>
            <w:r>
              <w:t xml:space="preserve"/>
            </w:r>
          </w:p>
          <w:p>
            <w:pPr>
              <w:spacing w:after="60" w:before="0" w:line="276"/>
              <w:jc w:val="both"/>
            </w:pPr>
            <w:r>
              <w:rPr>
                <w:rFonts w:ascii="Arial" w:cs="Arial" w:eastAsia="Arial" w:hAnsi="Arial"/>
                <w:b/>
                <w:bCs/>
                <w:color w:val="000000"/>
                <w:sz w:val="18"/>
                <w:szCs w:val="18"/>
              </w:rPr>
              <w:t xml:space="preserve">Respecto a la resistencia docente y la formación insuficiente (Reyes, 2025):</w:t>
            </w:r>
          </w:p>
          <w:p>
            <w:pPr>
              <w:pStyle w:val="ListParagraph"/>
              <w:numPr>
                <w:ilvl w:val="0"/>
                <w:numId w:val="2"/>
              </w:numPr>
              <w:spacing w:after="50"/>
            </w:pPr>
            <w:r>
              <w:rPr>
                <w:rFonts w:ascii="Arial" w:cs="Arial" w:eastAsia="Arial" w:hAnsi="Arial"/>
                <w:b w:val="false"/>
                <w:bCs w:val="false"/>
                <w:color w:val="000000"/>
                <w:sz w:val="18"/>
                <w:szCs w:val="18"/>
              </w:rPr>
              <w:t xml:space="preserve">El OE5 produce un repositorio GitHub de skills de machine learning diseñado específicamente para investigadores educativos sin formación técnica avanzada. Este artefacto no es un manual técnico convencional: es un sistema de formación fundamentado en el principio vygotskiano de que las habilidades técnicas son transferibles y generan cultura compartida (Vygotsky, 1930). Al traducir el conocimiento técnico del SIPTech en recursos documentados, accesibles y teóricamente fundamentados —con los principios de diseño de la AT incorporados— la tesis contribuye activamente a reducir la brecha de formación que obstaculiza la implementación de innovaciones en contextos educativos reales.</w:t>
            </w:r>
          </w:p>
          <w:p>
            <w:pPr>
              <w:spacing w:after="80" w:before="0"/>
            </w:pPr>
            <w:r>
              <w:t xml:space="preserve"/>
            </w:r>
          </w:p>
          <w:p>
            <w:pPr>
              <w:spacing w:after="0" w:before="0" w:line="276"/>
              <w:jc w:val="both"/>
            </w:pPr>
            <w:r>
              <w:rPr>
                <w:rFonts w:ascii="Arial" w:cs="Arial" w:eastAsia="Arial" w:hAnsi="Arial"/>
                <w:b w:val="false"/>
                <w:bCs w:val="false"/>
                <w:color w:val="000000"/>
                <w:sz w:val="18"/>
                <w:szCs w:val="18"/>
              </w:rPr>
              <w:t xml:space="preserve">La contribución de esta tesis en el ámbito práctico es, por tanto, de nivel formativo y epistémico: no instala infraestructura, pero genera el conocimiento y los artefactos necesarios para que otros puedan hacerlo.</w:t>
            </w:r>
          </w:p>
        </w:tc>
      </w:tr>
      <w:tr>
        <w:tc>
          <w:tcPr>
            <w:tcW w:type="dxa" w:w="1600"/>
            <w:tcBorders>
              <w:top w:val="single" w:color="EAD7F7" w:sz="1"/>
              <w:left w:val="single" w:color="EAD7F7" w:sz="1"/>
              <w:bottom w:val="single" w:color="EAD7F7" w:sz="1"/>
              <w:right w:val="single" w:color="EAD7F7" w:sz="1"/>
            </w:tcBorders>
            <w:shd w:fill="EAD7F7" w:val="clear"/>
            <w:tcMar>
              <w:top w:type="dxa" w:w="100"/>
              <w:left w:type="dxa" w:w="140"/>
              <w:bottom w:type="dxa" w:w="100"/>
              <w:right w:type="dxa" w:w="140"/>
            </w:tcMar>
            <w:vAlign w:val="center"/>
          </w:tcPr>
          <w:p>
            <w:pPr>
              <w:spacing w:after="80" w:before="0" w:line="276"/>
              <w:jc w:val="center"/>
            </w:pPr>
            <w:r>
              <w:rPr>
                <w:rFonts w:ascii="Arial" w:cs="Arial" w:eastAsia="Arial" w:hAnsi="Arial"/>
                <w:b/>
                <w:bCs/>
                <w:color w:val="5B2C8D"/>
                <w:sz w:val="18"/>
                <w:szCs w:val="18"/>
              </w:rPr>
              <w:t xml:space="preserve">Limitantes
de escala y
generalización</w:t>
            </w:r>
          </w:p>
        </w:tc>
        <w:tc>
          <w:tcPr>
            <w:tcW w:type="dxa" w:w="3600"/>
            <w:tcBorders>
              <w:top w:val="single" w:color="F2F2F2" w:sz="1"/>
              <w:left w:val="single" w:color="F2F2F2" w:sz="1"/>
              <w:bottom w:val="single" w:color="F2F2F2" w:sz="1"/>
              <w:right w:val="single" w:color="F2F2F2" w:sz="1"/>
            </w:tcBorders>
            <w:shd w:fill="F2F2F2" w:val="clear"/>
            <w:tcMar>
              <w:top w:type="dxa" w:w="100"/>
              <w:left w:type="dxa" w:w="140"/>
              <w:bottom w:type="dxa" w:w="100"/>
              <w:right w:type="dxa" w:w="140"/>
            </w:tcMar>
            <w:vAlign w:val="top"/>
          </w:tcPr>
          <w:p>
            <w:pPr>
              <w:spacing w:after="80" w:before="0" w:line="276"/>
              <w:jc w:val="both"/>
            </w:pPr>
            <w:r>
              <w:rPr>
                <w:rFonts w:ascii="Arial" w:cs="Arial" w:eastAsia="Arial" w:hAnsi="Arial"/>
                <w:b w:val="false"/>
                <w:bCs w:val="false"/>
                <w:color w:val="000000"/>
                <w:sz w:val="17"/>
                <w:szCs w:val="17"/>
              </w:rPr>
              <w:t xml:space="preserve">La IBD tiende a ser intensiva en contexto, generando soluciones muy situadas y difíciles de escalar o transferir a otros entornos sin perder efecto. (Del Mar Sánchez Vera &amp; Espinosa, 2022)</w:t>
            </w:r>
          </w:p>
          <w:p>
            <w:pPr>
              <w:spacing w:after="80" w:before="0" w:line="276"/>
              <w:jc w:val="both"/>
            </w:pPr>
            <w:r>
              <w:rPr>
                <w:rFonts w:ascii="Arial" w:cs="Arial" w:eastAsia="Arial" w:hAnsi="Arial"/>
                <w:b w:val="false"/>
                <w:bCs w:val="false"/>
                <w:color w:val="000000"/>
                <w:sz w:val="17"/>
                <w:szCs w:val="17"/>
              </w:rPr>
              <w:t xml:space="preserve">La rápida obsolescencia tecnológica limita la estabilidad de los diseños y dificulta sistematizar principios de diseño duraderos. (Vera, 2023)</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80" w:before="0" w:line="276"/>
              <w:jc w:val="both"/>
            </w:pPr>
            <w:r>
              <w:rPr>
                <w:rFonts w:ascii="Arial" w:cs="Arial" w:eastAsia="Arial" w:hAnsi="Arial"/>
                <w:b/>
                <w:bCs/>
                <w:color w:val="1F3864"/>
                <w:sz w:val="18"/>
                <w:szCs w:val="18"/>
              </w:rPr>
              <w:t xml:space="preserve">Contribución directa: OE1 + OE4 + OE5</w:t>
            </w:r>
          </w:p>
          <w:p>
            <w:pPr>
              <w:spacing w:after="100" w:before="0" w:line="276"/>
              <w:jc w:val="both"/>
            </w:pPr>
            <w:r>
              <w:rPr>
                <w:rFonts w:ascii="Arial" w:cs="Arial" w:eastAsia="Arial" w:hAnsi="Arial"/>
                <w:b w:val="false"/>
                <w:bCs w:val="false"/>
                <w:color w:val="000000"/>
                <w:sz w:val="18"/>
                <w:szCs w:val="18"/>
              </w:rPr>
              <w:t xml:space="preserve">Este es el punto donde la contribución epistemológica de la tesis resulta más estratégica. La limitante de Del Mar Sánchez Vera y Espinosa (2022) —soluciones muy situadas, difíciles de escalar o transferir— se aborda mediante una distinción conceptual fundamental: lo que escala no es la implementación técnica, sino el concepto.</w:t>
            </w:r>
          </w:p>
          <w:p>
            <w:pPr>
              <w:spacing w:after="100" w:before="0" w:line="276"/>
              <w:jc w:val="both"/>
            </w:pPr>
            <w:r>
              <w:rPr>
                <w:rFonts w:ascii="Arial" w:cs="Arial" w:eastAsia="Arial" w:hAnsi="Arial"/>
                <w:b w:val="false"/>
                <w:bCs w:val="false"/>
                <w:color w:val="000000"/>
                <w:sz w:val="18"/>
                <w:szCs w:val="18"/>
              </w:rPr>
              <w:t xml:space="preserve">El SIP, legitimado mediante cartografía conceptual (OE1, Tobón, 2012), es una unidad de análisis que puede aplicarse a contextos educativos distintos del caso original de Querétaro, porque define un patrón de mediación —feed-forward, feedback y génesis instrumental— que es estructuralmente invariante respecto al contexto tecnológico específico. Esto es precisamente lo que Del Mar Sánchez Vera y Espinosa demandan: conocimiento generalizable capaz de viajar más allá del caso. Un concepto bien legitimado viaja; una aplicación técnica, no necesariamente.</w:t>
            </w:r>
          </w:p>
          <w:p>
            <w:pPr>
              <w:spacing w:after="60" w:before="0" w:line="276"/>
              <w:jc w:val="both"/>
            </w:pPr>
            <w:r>
              <w:rPr>
                <w:rFonts w:ascii="Arial" w:cs="Arial" w:eastAsia="Arial" w:hAnsi="Arial"/>
                <w:b w:val="false"/>
                <w:bCs w:val="false"/>
                <w:color w:val="000000"/>
                <w:sz w:val="18"/>
                <w:szCs w:val="18"/>
              </w:rPr>
              <w:t xml:space="preserve">Frente a la obsolescencia tecnológica (Vera, 2023), la tesis adopta una estrategia en dos niveles:</w:t>
            </w:r>
          </w:p>
          <w:p>
            <w:pPr>
              <w:pStyle w:val="ListParagraph"/>
              <w:numPr>
                <w:ilvl w:val="0"/>
                <w:numId w:val="2"/>
              </w:numPr>
              <w:spacing w:after="50"/>
            </w:pPr>
            <w:r>
              <w:rPr>
                <w:rFonts w:ascii="Arial" w:cs="Arial" w:eastAsia="Arial" w:hAnsi="Arial"/>
                <w:b w:val="false"/>
                <w:bCs w:val="false"/>
                <w:color w:val="000000"/>
                <w:sz w:val="18"/>
                <w:szCs w:val="18"/>
              </w:rPr>
              <w:t xml:space="preserve">En el nivel técnico: el stacking ensemble (Random Forest, XGBoost, Gradient Boosting, Feedforward Neural Network) utiliza algoritmos maduros y ampliamente documentados en la literatura de machine learning, con baja probabilidad de obsolescencia en el corto y mediano plazo.</w:t>
            </w:r>
          </w:p>
          <w:p>
            <w:pPr>
              <w:pStyle w:val="ListParagraph"/>
              <w:numPr>
                <w:ilvl w:val="0"/>
                <w:numId w:val="2"/>
              </w:numPr>
              <w:spacing w:after="50"/>
            </w:pPr>
            <w:r>
              <w:rPr>
                <w:rFonts w:ascii="Arial" w:cs="Arial" w:eastAsia="Arial" w:hAnsi="Arial"/>
                <w:b w:val="false"/>
                <w:bCs w:val="false"/>
                <w:color w:val="000000"/>
                <w:sz w:val="18"/>
                <w:szCs w:val="18"/>
              </w:rPr>
              <w:t xml:space="preserve">En el nivel epistemológico —el que verdaderamente resiste el tiempo—: la Teoría de la Actividad y el concepto SIP no dependen de ninguna plataforma ni herramienta específica. Son marcos analíticos que pueden rearticularse con las tecnologías disponibles en cada momento histórico, tal como la Teoría de la Actividad lleva cinco décadas rearticulándose con tecnologías sucesivamente distintas (de los sistemas UNIX a los entornos de IA).</w:t>
            </w:r>
          </w:p>
          <w:p>
            <w:pPr>
              <w:spacing w:after="80" w:before="0"/>
            </w:pPr>
            <w:r>
              <w:t xml:space="preserve"/>
            </w:r>
          </w:p>
          <w:p>
            <w:pPr>
              <w:spacing w:after="0" w:before="0" w:line="276"/>
              <w:jc w:val="both"/>
            </w:pPr>
            <w:r>
              <w:rPr>
                <w:rFonts w:ascii="Arial" w:cs="Arial" w:eastAsia="Arial" w:hAnsi="Arial"/>
                <w:b w:val="false"/>
                <w:bCs w:val="false"/>
                <w:color w:val="000000"/>
                <w:sz w:val="18"/>
                <w:szCs w:val="18"/>
              </w:rPr>
              <w:t xml:space="preserve">Los principios de diseño generados por el OE4 son, por definición, abstracciones transferibles que trascienden las herramientas que los produjeron. Los tres artefactos del OE5 —concepto SIP, repositorio GitHub, caso SIPTech— son mecanismos de transferencia explícitamente diseñados para que otros investigadores puedan replicar el proceso, no solo los resultados. Esa es la distinción entre un estudio de caso y una línea de investigación.</w:t>
            </w:r>
          </w:p>
        </w:tc>
      </w:tr>
    </w:tbl>
    <w:p>
      <w:pPr>
        <w:spacing w:after="200" w:before="0"/>
      </w:pPr>
      <w:r>
        <w:t xml:space="preserve"/>
      </w:r>
    </w:p>
    <w:p>
      <w:pPr>
        <w:spacing w:after="0" w:before="0"/>
        <w:jc w:val="center"/>
      </w:pPr>
      <w:r>
        <w:rPr>
          <w:rFonts w:ascii="Arial" w:cs="Arial" w:eastAsia="Arial" w:hAnsi="Arial"/>
          <w:color w:val="595959"/>
          <w:sz w:val="16"/>
          <w:szCs w:val="16"/>
        </w:rPr>
        <w:t xml:space="preserve">Luis Pardo · Doctorado en Tecnología Educativa · Universidad Autónoma de Querétaro</w:t>
      </w:r>
    </w:p>
    <w:p>
      <w:pPr>
        <w:sectPr>
          <w:pgSz w:w="15840" w:h="12240" w:orient="landscape"/>
          <w:pgMar w:top="1080" w:right="1080" w:bottom="1080" w:left="1080" w:header="708" w:footer="708" w:gutter="0"/>
          <w:pgNumType/>
          <w:docGrid w:linePitch="360"/>
        </w:sectPr>
      </w:pPr>
    </w:p>
    <w:p>
      <w:pPr>
        <w:pageBreakBefore/>
      </w:pPr>
      <w:r>
        <w:t xml:space="preserve"/>
      </w:r>
    </w:p>
    <w:p>
      <w:pPr>
        <w:pStyle w:val="Heading1"/>
        <w:spacing w:after="140" w:before="300"/>
      </w:pPr>
      <w:r>
        <w:rPr>
          <w:rFonts w:ascii="Arial" w:cs="Arial" w:eastAsia="Arial" w:hAnsi="Arial"/>
          <w:b/>
          <w:bCs/>
          <w:color w:val="1F3864"/>
          <w:sz w:val="28"/>
          <w:szCs w:val="28"/>
        </w:rPr>
        <w:t xml:space="preserve">Discurso de defensa — Argumentos clave para la reunión</w:t>
      </w:r>
    </w:p>
    <w:p>
      <w:pPr>
        <w:spacing w:after="80" w:before="0"/>
      </w:pPr>
      <w:r>
        <w:t xml:space="preserve"/>
      </w:r>
    </w:p>
    <w:p>
      <w:pPr>
        <w:spacing w:after="160" w:before="0" w:line="276"/>
        <w:jc w:val="both"/>
      </w:pPr>
      <w:r>
        <w:rPr>
          <w:rFonts w:ascii="Arial" w:cs="Arial" w:eastAsia="Arial" w:hAnsi="Arial"/>
          <w:b w:val="false"/>
          <w:bCs w:val="false"/>
          <w:color w:val="000000"/>
          <w:sz w:val="20"/>
          <w:szCs w:val="20"/>
        </w:rPr>
        <w:t xml:space="preserve">La siguiente síntesis organiza los argumentos centrales del rediseño en una secuencia lógica para la presentación con la directora. Está estructurada de mayor a menor abstracción: primero el argumento epistemológico, luego el metodológico, y finalmente el aplicado.</w:t>
      </w:r>
    </w:p>
    <w:p>
      <w:pPr>
        <w:pStyle w:val="Heading2"/>
        <w:spacing w:after="100" w:before="220"/>
      </w:pPr>
      <w:r>
        <w:rPr>
          <w:rFonts w:ascii="Arial" w:cs="Arial" w:eastAsia="Arial" w:hAnsi="Arial"/>
          <w:b/>
          <w:bCs/>
          <w:color w:val="2E5496"/>
          <w:sz w:val="22"/>
          <w:szCs w:val="22"/>
        </w:rPr>
        <w:t xml:space="preserve">Argumento 1 — El problema epistémico que la tesis atiende</w:t>
      </w:r>
    </w:p>
    <w:p>
      <w:pPr>
        <w:spacing w:after="120" w:before="0" w:line="276"/>
        <w:jc w:val="both"/>
      </w:pPr>
      <w:r>
        <w:rPr>
          <w:rFonts w:ascii="Arial" w:cs="Arial" w:eastAsia="Arial" w:hAnsi="Arial"/>
          <w:b w:val="false"/>
          <w:bCs w:val="false"/>
          <w:color w:val="000000"/>
          <w:sz w:val="20"/>
          <w:szCs w:val="20"/>
        </w:rPr>
        <w:t xml:space="preserve">La tecnología educativa como campo tiene un déficit estructural: produce herramientas pero no conceptos. Genera implementaciones pero rara vez genera teoría propia. Esta tesis no produce un modelo predictivo más —produce un concepto nuevo, el Sistema Instrumental Psicotécnico, legitimado mediante un método de investigación documental reconocido (cartografía conceptual, Tobón, 2012) y fundamentado en dos marcos teóricos de alcance internacional (Teoría de la Actividad, posthumanismo crítico). Esa es la contribución epistémica: enriquecer el vocabulario teórico del campo con una unidad de análisis que permite pensar de manera distinta los sistemas humano-tecnológicos en educación.</w:t>
      </w:r>
    </w:p>
    <w:p>
      <w:pPr>
        <w:pStyle w:val="Heading2"/>
        <w:spacing w:after="100" w:before="220"/>
      </w:pPr>
      <w:r>
        <w:rPr>
          <w:rFonts w:ascii="Arial" w:cs="Arial" w:eastAsia="Arial" w:hAnsi="Arial"/>
          <w:b/>
          <w:bCs/>
          <w:color w:val="2E5496"/>
          <w:sz w:val="22"/>
          <w:szCs w:val="22"/>
        </w:rPr>
        <w:t xml:space="preserve">Argumento 2 — Por qué el rediseño fortalece la tesis y no la debilita</w:t>
      </w:r>
    </w:p>
    <w:p>
      <w:pPr>
        <w:spacing w:after="120" w:before="0" w:line="276"/>
        <w:jc w:val="both"/>
      </w:pPr>
      <w:r>
        <w:rPr>
          <w:rFonts w:ascii="Arial" w:cs="Arial" w:eastAsia="Arial" w:hAnsi="Arial"/>
          <w:b w:val="false"/>
          <w:bCs w:val="false"/>
          <w:color w:val="000000"/>
          <w:sz w:val="20"/>
          <w:szCs w:val="20"/>
        </w:rPr>
        <w:t xml:space="preserve">La IBD no solo permite el rediseño iterativo —lo exige. McKenney y Reeves (2018) establecen que cada ciclo de diseño debe producir dos cosas: soluciones al problema práctico y principios de diseño generalizables. El diseño original (Capa 1) produjo la solución técnica: el stacking ensemble con variables psicoemocionales. El rediseño (Capa 2) produce los principios de diseño transferibles: el concepto SIP, la arquitectura de mediación instrumental, los ejes de la cartografía. Sin la Capa 2, la tesis queda atrapada en el nivel aplicado y no genera contribución teórica. El rediseño no es un cambio de rumbo: es exactamente lo que la IBD esperaba que ocurriera.</w:t>
      </w:r>
    </w:p>
    <w:p>
      <w:pPr>
        <w:pStyle w:val="Heading2"/>
        <w:spacing w:after="100" w:before="220"/>
      </w:pPr>
      <w:r>
        <w:rPr>
          <w:rFonts w:ascii="Arial" w:cs="Arial" w:eastAsia="Arial" w:hAnsi="Arial"/>
          <w:b/>
          <w:bCs/>
          <w:color w:val="2E5496"/>
          <w:sz w:val="22"/>
          <w:szCs w:val="22"/>
        </w:rPr>
        <w:t xml:space="preserve">Argumento 3 — Qué se conserva íntegramente del diseño original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960"/>
      </w:tblGrid>
      <w:tr>
        <w:tc>
          <w:tcPr>
            <w:tcW w:type="dxa" w:w="12960"/>
            <w:tcBorders>
              <w:top w:val="single" w:color="E2EFDA" w:sz="1"/>
              <w:left w:val="single" w:color="E2EFDA" w:sz="1"/>
              <w:bottom w:val="single" w:color="E2EFDA" w:sz="1"/>
              <w:right w:val="single" w:color="E2EFDA" w:sz="1"/>
            </w:tcBorders>
            <w:shd w:fill="E2EFDA" w:val="clear"/>
            <w:tcMar>
              <w:top w:type="dxa" w:w="140"/>
              <w:left w:type="dxa" w:w="200"/>
              <w:bottom w:type="dxa" w:w="140"/>
              <w:right w:type="dxa" w:w="200"/>
            </w:tcMar>
          </w:tcPr>
          <w:p>
            <w:pPr>
              <w:spacing w:after="80" w:before="0" w:line="276"/>
              <w:jc w:val="both"/>
            </w:pPr>
            <w:r>
              <w:rPr>
                <w:rFonts w:ascii="Arial" w:cs="Arial" w:eastAsia="Arial" w:hAnsi="Arial"/>
                <w:b/>
                <w:bCs/>
                <w:color w:val="375623"/>
                <w:sz w:val="20"/>
                <w:szCs w:val="20"/>
              </w:rPr>
              <w:t xml:space="preserve">Se mantiene sin modificaciones:</w:t>
            </w:r>
          </w:p>
          <w:p>
            <w:pPr>
              <w:pStyle w:val="ListParagraph"/>
              <w:numPr>
                <w:ilvl w:val="0"/>
                <w:numId w:val="2"/>
              </w:numPr>
              <w:spacing w:after="50"/>
            </w:pPr>
            <w:r>
              <w:rPr>
                <w:rFonts w:ascii="Arial" w:cs="Arial" w:eastAsia="Arial" w:hAnsi="Arial"/>
                <w:b w:val="false"/>
                <w:bCs w:val="false"/>
                <w:color w:val="000000"/>
                <w:sz w:val="18"/>
                <w:szCs w:val="18"/>
              </w:rPr>
              <w:t xml:space="preserve">El problema educativo: detección del abandono escolar en educación superior</w:t>
            </w:r>
          </w:p>
          <w:p>
            <w:pPr>
              <w:pStyle w:val="ListParagraph"/>
              <w:numPr>
                <w:ilvl w:val="0"/>
                <w:numId w:val="2"/>
              </w:numPr>
              <w:spacing w:after="50"/>
            </w:pPr>
            <w:r>
              <w:rPr>
                <w:rFonts w:ascii="Arial" w:cs="Arial" w:eastAsia="Arial" w:hAnsi="Arial"/>
                <w:b w:val="false"/>
                <w:bCs w:val="false"/>
                <w:color w:val="000000"/>
                <w:sz w:val="18"/>
                <w:szCs w:val="18"/>
              </w:rPr>
              <w:t xml:space="preserve">El contexto geográfico: Querétaro, México</w:t>
            </w:r>
          </w:p>
          <w:p>
            <w:pPr>
              <w:pStyle w:val="ListParagraph"/>
              <w:numPr>
                <w:ilvl w:val="0"/>
                <w:numId w:val="2"/>
              </w:numPr>
              <w:spacing w:after="50"/>
            </w:pPr>
            <w:r>
              <w:rPr>
                <w:rFonts w:ascii="Arial" w:cs="Arial" w:eastAsia="Arial" w:hAnsi="Arial"/>
                <w:b w:val="false"/>
                <w:bCs w:val="false"/>
                <w:color w:val="000000"/>
                <w:sz w:val="18"/>
                <w:szCs w:val="18"/>
              </w:rPr>
              <w:t xml:space="preserve">Los instrumentos psicoemocionales: SF-12 + escalas Likert de 6 dimensiones</w:t>
            </w:r>
          </w:p>
          <w:p>
            <w:pPr>
              <w:pStyle w:val="ListParagraph"/>
              <w:numPr>
                <w:ilvl w:val="0"/>
                <w:numId w:val="2"/>
              </w:numPr>
              <w:spacing w:after="50"/>
            </w:pPr>
            <w:r>
              <w:rPr>
                <w:rFonts w:ascii="Arial" w:cs="Arial" w:eastAsia="Arial" w:hAnsi="Arial"/>
                <w:b w:val="false"/>
                <w:bCs w:val="false"/>
                <w:color w:val="000000"/>
                <w:sz w:val="18"/>
                <w:szCs w:val="18"/>
              </w:rPr>
              <w:t xml:space="preserve">La arquitectura técnica: stacking ensemble (RF + XGBoost + Gradient Boosting → FNN)</w:t>
            </w:r>
          </w:p>
          <w:p>
            <w:pPr>
              <w:pStyle w:val="ListParagraph"/>
              <w:numPr>
                <w:ilvl w:val="0"/>
                <w:numId w:val="2"/>
              </w:numPr>
              <w:spacing w:after="50"/>
            </w:pPr>
            <w:r>
              <w:rPr>
                <w:rFonts w:ascii="Arial" w:cs="Arial" w:eastAsia="Arial" w:hAnsi="Arial"/>
                <w:b w:val="false"/>
                <w:bCs w:val="false"/>
                <w:color w:val="000000"/>
                <w:sz w:val="18"/>
                <w:szCs w:val="18"/>
              </w:rPr>
              <w:t xml:space="preserve">La validación cruzada y las métricas de desempeño (precisión, sensibilidad, especificidad)</w:t>
            </w:r>
          </w:p>
          <w:p>
            <w:pPr>
              <w:pStyle w:val="ListParagraph"/>
              <w:numPr>
                <w:ilvl w:val="0"/>
                <w:numId w:val="2"/>
              </w:numPr>
              <w:spacing w:after="50"/>
            </w:pPr>
            <w:r>
              <w:rPr>
                <w:rFonts w:ascii="Arial" w:cs="Arial" w:eastAsia="Arial" w:hAnsi="Arial"/>
                <w:b w:val="false"/>
                <w:bCs w:val="false"/>
                <w:color w:val="000000"/>
                <w:sz w:val="18"/>
                <w:szCs w:val="18"/>
              </w:rPr>
              <w:t xml:space="preserve">El enfoque metodológico mixto sustentado en la IBD</w:t>
            </w:r>
          </w:p>
          <w:p>
            <w:pPr>
              <w:spacing w:after="60" w:before="0"/>
            </w:pPr>
            <w:r>
              <w:t xml:space="preserve"/>
            </w:r>
          </w:p>
          <w:p>
            <w:pPr>
              <w:spacing w:after="0" w:before="0" w:line="276"/>
              <w:jc w:val="both"/>
            </w:pPr>
            <w:r>
              <w:rPr>
                <w:rFonts w:ascii="Arial" w:cs="Arial" w:eastAsia="Arial" w:hAnsi="Arial"/>
                <w:b/>
                <w:bCs/>
                <w:color w:val="1F3864"/>
                <w:sz w:val="20"/>
                <w:szCs w:val="20"/>
              </w:rPr>
              <w:t xml:space="preserve">Lo que cambia:</w:t>
            </w:r>
            <w:r>
              <w:rPr>
                <w:rFonts w:ascii="Arial" w:cs="Arial" w:eastAsia="Arial" w:hAnsi="Arial"/>
                <w:b w:val="false"/>
                <w:bCs w:val="false"/>
                <w:color w:val="000000"/>
                <w:sz w:val="20"/>
                <w:szCs w:val="20"/>
              </w:rPr>
              <w:t xml:space="preserve"> el marco epistemológico. El modelo de ML pasa de ser el fin al ser un artefacto computacional dentro de un sistema de mediación más amplio. El SIP es el objeto de estudio. El algoritmo es su componente técnico.</w:t>
            </w:r>
          </w:p>
        </w:tc>
      </w:tr>
    </w:tbl>
    <w:p>
      <w:pPr>
        <w:spacing w:after="160" w:before="0"/>
      </w:pPr>
      <w:r>
        <w:t xml:space="preserve"/>
      </w:r>
    </w:p>
    <w:p>
      <w:pPr>
        <w:pStyle w:val="Heading2"/>
        <w:spacing w:after="100" w:before="220"/>
      </w:pPr>
      <w:r>
        <w:rPr>
          <w:rFonts w:ascii="Arial" w:cs="Arial" w:eastAsia="Arial" w:hAnsi="Arial"/>
          <w:b/>
          <w:bCs/>
          <w:color w:val="2E5496"/>
          <w:sz w:val="22"/>
          <w:szCs w:val="22"/>
        </w:rPr>
        <w:t xml:space="preserve">Argumento 4 — La nueva línea de investigación: alcance real vs. alcance declarado</w:t>
      </w:r>
    </w:p>
    <w:p>
      <w:pPr>
        <w:spacing w:after="120" w:before="0" w:line="276"/>
        <w:jc w:val="both"/>
      </w:pPr>
      <w:r>
        <w:rPr>
          <w:rFonts w:ascii="Arial" w:cs="Arial" w:eastAsia="Arial" w:hAnsi="Arial"/>
          <w:b w:val="false"/>
          <w:bCs w:val="false"/>
          <w:color w:val="000000"/>
          <w:sz w:val="20"/>
          <w:szCs w:val="20"/>
        </w:rPr>
        <w:t xml:space="preserve">Una tesis puede proponer las bases de una nueva línea de investigación; la línea se consolida cuando otros investigadores la adoptan. Por eso, el lenguaje correcto en la tesis es: 'este trabajo propone y legitima el concepto de Sistema Instrumental Psicotécnico como punto de partida de una línea de investigación en instrumentación psicotécnica aplicada a la tecnología educativa'. Ese enunciado es defendible ante cualquier comité. Los tres artefactos de transferencia (concepto SIP + repositorio GitHub + caso SIPTech) son los mecanismos concretos para que otros puedan continuar la línea, lo que hace el reclamo creíble.</w:t>
      </w:r>
    </w:p>
    <w:p>
      <w:pPr>
        <w:pStyle w:val="Heading2"/>
        <w:spacing w:after="100" w:before="220"/>
      </w:pPr>
      <w:r>
        <w:rPr>
          <w:rFonts w:ascii="Arial" w:cs="Arial" w:eastAsia="Arial" w:hAnsi="Arial"/>
          <w:b/>
          <w:bCs/>
          <w:color w:val="2E5496"/>
          <w:sz w:val="22"/>
          <w:szCs w:val="22"/>
        </w:rPr>
        <w:t xml:space="preserve">Argumento 5 — El posicionamiento frente a las limitantes del campo</w:t>
      </w:r>
    </w:p>
    <w:p>
      <w:pPr>
        <w:spacing w:after="0" w:before="0" w:line="276"/>
        <w:jc w:val="both"/>
      </w:pPr>
      <w:r>
        <w:rPr>
          <w:rFonts w:ascii="Arial" w:cs="Arial" w:eastAsia="Arial" w:hAnsi="Arial"/>
          <w:b w:val="false"/>
          <w:bCs w:val="false"/>
          <w:color w:val="000000"/>
          <w:sz w:val="20"/>
          <w:szCs w:val="20"/>
        </w:rPr>
        <w:t xml:space="preserve">Cada una de las cuatro limitantes documentadas en la tabla analítica tiene una respuesta directa desde los objetivos de la tesis. Esta correspondencia no es retórica: es la evidencia de que la investigación fue diseñada para atender problemas reales del campo, no para cumplir requisitos formales del programa doctoral. Presentar esta tabla en la reunión con la directora sitúa el rediseño en el contexto más amplio de los debates actuales en tecnología educativa, lo que fortalece la relevancia del proyecto y su potencial de publicación en revistas indexadas del campo.</w:t>
      </w:r>
    </w:p>
    <w:p>
      <w:pPr>
        <w:spacing w:after="200" w:before="0"/>
      </w:pPr>
      <w:r>
        <w:t xml:space="preserve"/>
      </w:r>
    </w:p>
    <w:p>
      <w:pPr>
        <w:pStyle w:val="Heading1"/>
        <w:spacing w:after="140" w:before="300"/>
      </w:pPr>
      <w:r>
        <w:rPr>
          <w:rFonts w:ascii="Arial" w:cs="Arial" w:eastAsia="Arial" w:hAnsi="Arial"/>
          <w:b/>
          <w:bCs/>
          <w:color w:val="1F3864"/>
          <w:sz w:val="28"/>
          <w:szCs w:val="28"/>
        </w:rPr>
        <w:t xml:space="preserve">Referencias</w:t>
      </w:r>
    </w:p>
    <w:p>
      <w:pPr>
        <w:spacing w:after="80" w:before="0"/>
      </w:pPr>
      <w:r>
        <w:t xml:space="preserve"/>
      </w:r>
    </w:p>
    <w:p>
      <w:pPr>
        <w:spacing w:after="60" w:before="0" w:line="276"/>
        <w:jc w:val="both"/>
      </w:pPr>
      <w:r>
        <w:rPr>
          <w:rFonts w:ascii="Arial" w:cs="Arial" w:eastAsia="Arial" w:hAnsi="Arial"/>
          <w:b w:val="false"/>
          <w:bCs w:val="false"/>
          <w:color w:val="000000"/>
          <w:sz w:val="18"/>
          <w:szCs w:val="18"/>
        </w:rPr>
        <w:t xml:space="preserve">Béguin, P., &amp; Rabardel, P. (2000). Designing for instrument-mediated activity. Scandinavian Journal of Information Systems, 12(1), 173–190.</w:t>
      </w:r>
    </w:p>
    <w:p>
      <w:pPr>
        <w:spacing w:after="60" w:before="0" w:line="276"/>
        <w:jc w:val="both"/>
      </w:pPr>
      <w:r>
        <w:rPr>
          <w:rFonts w:ascii="Arial" w:cs="Arial" w:eastAsia="Arial" w:hAnsi="Arial"/>
          <w:b w:val="false"/>
          <w:bCs w:val="false"/>
          <w:color w:val="000000"/>
          <w:sz w:val="18"/>
          <w:szCs w:val="18"/>
        </w:rPr>
        <w:t xml:space="preserve">Braidotti, R. (2019). Posthuman knowledge. Polity Press.</w:t>
      </w:r>
    </w:p>
    <w:p>
      <w:pPr>
        <w:spacing w:after="60" w:before="0" w:line="276"/>
        <w:jc w:val="both"/>
      </w:pPr>
      <w:r>
        <w:rPr>
          <w:rFonts w:ascii="Arial" w:cs="Arial" w:eastAsia="Arial" w:hAnsi="Arial"/>
          <w:b w:val="false"/>
          <w:bCs w:val="false"/>
          <w:color w:val="000000"/>
          <w:sz w:val="18"/>
          <w:szCs w:val="18"/>
        </w:rPr>
        <w:t xml:space="preserve">Brodowicz, D. (2024). Digital divide and educational technology innovation. Journal of Educational Technology Research, 18(1), 45–62.</w:t>
      </w:r>
    </w:p>
    <w:p>
      <w:pPr>
        <w:spacing w:after="60" w:before="0" w:line="276"/>
        <w:jc w:val="both"/>
      </w:pPr>
      <w:r>
        <w:rPr>
          <w:rFonts w:ascii="Arial" w:cs="Arial" w:eastAsia="Arial" w:hAnsi="Arial"/>
          <w:b w:val="false"/>
          <w:bCs w:val="false"/>
          <w:color w:val="000000"/>
          <w:sz w:val="18"/>
          <w:szCs w:val="18"/>
        </w:rPr>
        <w:t xml:space="preserve">Chi, M. T. H. (1992). Conceptual change within and across ontological categories. In R. Giere (Ed.), Cognitive models of science (pp. 129–186). University of Minnesota Press.</w:t>
      </w:r>
    </w:p>
    <w:p>
      <w:pPr>
        <w:spacing w:after="60" w:before="0" w:line="276"/>
        <w:jc w:val="both"/>
      </w:pPr>
      <w:r>
        <w:rPr>
          <w:rFonts w:ascii="Arial" w:cs="Arial" w:eastAsia="Arial" w:hAnsi="Arial"/>
          <w:b w:val="false"/>
          <w:bCs w:val="false"/>
          <w:color w:val="000000"/>
          <w:sz w:val="18"/>
          <w:szCs w:val="18"/>
        </w:rPr>
        <w:t xml:space="preserve">De Benito Crosetti, B., &amp; Ibáñez, J. (2016). La investigación basada en diseño en Tecnología Educativa. Revista Interuniversitaria de Investigación en Tecnología Educativa, 0, 44–59.</w:t>
      </w:r>
    </w:p>
    <w:p>
      <w:pPr>
        <w:spacing w:after="60" w:before="0" w:line="276"/>
        <w:jc w:val="both"/>
      </w:pPr>
      <w:r>
        <w:rPr>
          <w:rFonts w:ascii="Arial" w:cs="Arial" w:eastAsia="Arial" w:hAnsi="Arial"/>
          <w:b w:val="false"/>
          <w:bCs w:val="false"/>
          <w:color w:val="000000"/>
          <w:sz w:val="18"/>
          <w:szCs w:val="18"/>
        </w:rPr>
        <w:t xml:space="preserve">Del Mar Sánchez Vera, M., &amp; Espinosa, M. P. (2022). Escalabilidad y transferencia en la investigación basada en diseño. Pixel-Bit, 64, 33–58.</w:t>
      </w:r>
    </w:p>
    <w:p>
      <w:pPr>
        <w:spacing w:after="60" w:before="0" w:line="276"/>
        <w:jc w:val="both"/>
      </w:pPr>
      <w:r>
        <w:rPr>
          <w:rFonts w:ascii="Arial" w:cs="Arial" w:eastAsia="Arial" w:hAnsi="Arial"/>
          <w:b w:val="false"/>
          <w:bCs w:val="false"/>
          <w:color w:val="000000"/>
          <w:sz w:val="18"/>
          <w:szCs w:val="18"/>
        </w:rPr>
        <w:t xml:space="preserve">Easterday, M. W., Rees Lewis, D. G., &amp; Gerber, E. M. (2018). The logic of design research. Learning: Research and Practice, 4(2), 131–160.</w:t>
      </w:r>
    </w:p>
    <w:p>
      <w:pPr>
        <w:spacing w:after="60" w:before="0" w:line="276"/>
        <w:jc w:val="both"/>
      </w:pPr>
      <w:r>
        <w:rPr>
          <w:rFonts w:ascii="Arial" w:cs="Arial" w:eastAsia="Arial" w:hAnsi="Arial"/>
          <w:b w:val="false"/>
          <w:bCs w:val="false"/>
          <w:color w:val="000000"/>
          <w:sz w:val="18"/>
          <w:szCs w:val="18"/>
        </w:rPr>
        <w:t xml:space="preserve">Gouraige, G., &amp; Agramonte, R. (2002). Tecnología educativa: concepción actual, logros y limitaciones didácticas. Pedagogía Universitaria, 7(4).</w:t>
      </w:r>
    </w:p>
    <w:p>
      <w:pPr>
        <w:spacing w:after="60" w:before="0" w:line="276"/>
        <w:jc w:val="both"/>
      </w:pPr>
      <w:r>
        <w:rPr>
          <w:rFonts w:ascii="Arial" w:cs="Arial" w:eastAsia="Arial" w:hAnsi="Arial"/>
          <w:b w:val="false"/>
          <w:bCs w:val="false"/>
          <w:color w:val="000000"/>
          <w:sz w:val="18"/>
          <w:szCs w:val="18"/>
        </w:rPr>
        <w:t xml:space="preserve">Kaptelinin, V. (1996). Activity theory: Implications for human-computer interaction. In B. Nardi (Ed.), Context and consciousness (pp. 103–116). MIT Press.</w:t>
      </w:r>
    </w:p>
    <w:p>
      <w:pPr>
        <w:spacing w:after="60" w:before="0" w:line="276"/>
        <w:jc w:val="both"/>
      </w:pPr>
      <w:r>
        <w:rPr>
          <w:rFonts w:ascii="Arial" w:cs="Arial" w:eastAsia="Arial" w:hAnsi="Arial"/>
          <w:b w:val="false"/>
          <w:bCs w:val="false"/>
          <w:color w:val="000000"/>
          <w:sz w:val="18"/>
          <w:szCs w:val="18"/>
        </w:rPr>
        <w:t xml:space="preserve">McKenney, S., &amp; Reeves, T. C. (2018). Conducting educational design research (2nd ed.). Routledge.</w:t>
      </w:r>
    </w:p>
    <w:p>
      <w:pPr>
        <w:spacing w:after="60" w:before="0" w:line="276"/>
        <w:jc w:val="both"/>
      </w:pPr>
      <w:r>
        <w:rPr>
          <w:rFonts w:ascii="Arial" w:cs="Arial" w:eastAsia="Arial" w:hAnsi="Arial"/>
          <w:b w:val="false"/>
          <w:bCs w:val="false"/>
          <w:color w:val="000000"/>
          <w:sz w:val="18"/>
          <w:szCs w:val="18"/>
        </w:rPr>
        <w:t xml:space="preserve">Reyes, A. (2025). Barreras docentes para la implementación tecnológica en educación superior. Revista de Educación y Tecnología, 12(2), 18–34.</w:t>
      </w:r>
    </w:p>
    <w:p>
      <w:pPr>
        <w:spacing w:after="60" w:before="0" w:line="276"/>
        <w:jc w:val="both"/>
      </w:pPr>
      <w:r>
        <w:rPr>
          <w:rFonts w:ascii="Arial" w:cs="Arial" w:eastAsia="Arial" w:hAnsi="Arial"/>
          <w:b w:val="false"/>
          <w:bCs w:val="false"/>
          <w:color w:val="000000"/>
          <w:sz w:val="18"/>
          <w:szCs w:val="18"/>
        </w:rPr>
        <w:t xml:space="preserve">Serrano, J. M. (2021). Fundamentación teórica en la investigación basada en diseño. Educación XX1, 24(1), 89–112.</w:t>
      </w:r>
    </w:p>
    <w:p>
      <w:pPr>
        <w:spacing w:after="60" w:before="0" w:line="276"/>
        <w:jc w:val="both"/>
      </w:pPr>
      <w:r>
        <w:rPr>
          <w:rFonts w:ascii="Arial" w:cs="Arial" w:eastAsia="Arial" w:hAnsi="Arial"/>
          <w:b w:val="false"/>
          <w:bCs w:val="false"/>
          <w:color w:val="000000"/>
          <w:sz w:val="18"/>
          <w:szCs w:val="18"/>
        </w:rPr>
        <w:t xml:space="preserve">Tobón, S. (2012). Cartografía conceptual: Estrategia para la formación y evaluación de conceptos y teorías. CIFE.</w:t>
      </w:r>
    </w:p>
    <w:p>
      <w:pPr>
        <w:spacing w:after="60" w:before="0" w:line="276"/>
        <w:jc w:val="both"/>
      </w:pPr>
      <w:r>
        <w:rPr>
          <w:rFonts w:ascii="Arial" w:cs="Arial" w:eastAsia="Arial" w:hAnsi="Arial"/>
          <w:b w:val="false"/>
          <w:bCs w:val="false"/>
          <w:color w:val="000000"/>
          <w:sz w:val="18"/>
          <w:szCs w:val="18"/>
        </w:rPr>
        <w:t xml:space="preserve">Vera, M. (2023). Obsolescencia tecnológica y diseño instruccional: desafíos para la investigación en tecnología educativa. Revista de Tecnología Educativa, 8(1), 5–21.</w:t>
      </w:r>
    </w:p>
    <w:p>
      <w:pPr>
        <w:spacing w:after="60" w:before="0" w:line="276"/>
        <w:jc w:val="both"/>
      </w:pPr>
      <w:r>
        <w:rPr>
          <w:rFonts w:ascii="Arial" w:cs="Arial" w:eastAsia="Arial" w:hAnsi="Arial"/>
          <w:b w:val="false"/>
          <w:bCs w:val="false"/>
          <w:color w:val="000000"/>
          <w:sz w:val="18"/>
          <w:szCs w:val="18"/>
        </w:rPr>
        <w:t xml:space="preserve">Vygotsky, L. S. (1930/1997). The instrumental method in psychology. In R. W. Rieber &amp; J. Wollock (Eds.), The collected works of L. S. Vygotsky: Vol. 3 (pp. 85–89). Plenum.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2026-04-27T22:28:12.475Z</dcterms:created>
  <dcterms:modified xsi:type="dcterms:W3CDTF">2026-04-27T22:28:12.482Z</dcterms:modified>
</cp:coreProperties>
</file>

<file path=docProps/custom.xml><?xml version="1.0" encoding="utf-8"?>
<Properties xmlns="http://schemas.openxmlformats.org/officeDocument/2006/custom-properties" xmlns:vt="http://schemas.openxmlformats.org/officeDocument/2006/docPropsVTypes"/>
</file>