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0"/>
          <w:szCs w:val="20"/>
        </w:rPr>
        <w:t xml:space="preserve"/>
      </w:r>
    </w:p>
    <w:p>
      <w:pPr>
        <w:spacing w:after="80" w:before="0"/>
        <w:jc w:val="center"/>
      </w:pPr>
      <w:r>
        <w:rPr>
          <w:rFonts w:ascii="Arial" w:cs="Arial" w:eastAsia="Arial" w:hAnsi="Arial"/>
          <w:caps/>
          <w:color w:val="718096"/>
          <w:spacing w:val="60"/>
          <w:sz w:val="18"/>
          <w:szCs w:val="18"/>
        </w:rPr>
        <w:t xml:space="preserve">DOCTORADO EN TECNOLOGÍA EDUCATIVA · UAQ | LUMINA LABSTECH</w:t>
      </w:r>
    </w:p>
    <w:p>
      <w:pPr>
        <w:spacing w:after="40" w:before="0"/>
        <w:jc w:val="center"/>
      </w:pPr>
      <w:r>
        <w:rPr>
          <w:rFonts w:ascii="Arial" w:cs="Arial" w:eastAsia="Arial" w:hAnsi="Arial"/>
          <w:b/>
          <w:bCs/>
          <w:color w:val="0D1726"/>
          <w:sz w:val="40"/>
          <w:szCs w:val="40"/>
        </w:rPr>
        <w:t xml:space="preserve">Resumen Ejecutivo</w:t>
      </w:r>
    </w:p>
    <w:p>
      <w:pPr>
        <w:spacing w:after="40" w:before="0"/>
        <w:jc w:val="center"/>
      </w:pPr>
      <w:r>
        <w:rPr>
          <w:rFonts w:ascii="Arial" w:cs="Arial" w:eastAsia="Arial" w:hAnsi="Arial"/>
          <w:b/>
          <w:bCs/>
          <w:color w:val="C9A84C"/>
          <w:sz w:val="40"/>
          <w:szCs w:val="40"/>
        </w:rPr>
        <w:t xml:space="preserve">Primera Iteración del Modelo ML</w:t>
      </w:r>
    </w:p>
    <w:p>
      <w:pPr>
        <w:spacing w:after="60" w:before="0"/>
        <w:jc w:val="center"/>
      </w:pPr>
      <w:r>
        <w:rPr>
          <w:rFonts w:ascii="Arial" w:cs="Arial" w:eastAsia="Arial" w:hAnsi="Arial"/>
          <w:b/>
          <w:bCs/>
          <w:color w:val="0D1726"/>
          <w:sz w:val="30"/>
          <w:szCs w:val="30"/>
        </w:rPr>
        <w:t xml:space="preserve">Predicción Anticipatoria de Deserción Escolar</w:t>
      </w:r>
    </w:p>
    <w:p>
      <w:pPr>
        <w:spacing w:after="200" w:before="0"/>
        <w:jc w:val="center"/>
      </w:pPr>
      <w:r>
        <w:rPr>
          <w:rFonts w:ascii="Arial" w:cs="Arial" w:eastAsia="Arial" w:hAnsi="Arial"/>
          <w:color w:val="718096"/>
          <w:sz w:val="22"/>
          <w:szCs w:val="22"/>
        </w:rPr>
        <w:t xml:space="preserve">Modelo de Stacking Ensemble con Variables Psicoemocionales, Académicas y Datos Longitudinales</w:t>
      </w:r>
    </w:p>
    <w:tbl>
      <w:tblPr>
        <w:tblW w:type="dxa" w:w="7200"/>
        <w:jc w:val="center"/>
        <w:tblBorders>
          <w:top w:val="nil" w:color="FFFFFF" w:sz="0"/>
          <w:left w:val="nil" w:color="FFFFFF" w:sz="0"/>
          <w:bottom w:val="nil" w:color="FFFFFF" w:sz="0"/>
          <w:right w:val="nil" w:color="FFFFFF" w:sz="0"/>
          <w:insideH w:val="single" w:color="auto" w:sz="4"/>
          <w:insideV w:val="single" w:color="auto" w:sz="4"/>
        </w:tblBorders>
      </w:tblPr>
      <w:tblGrid>
        <w:gridCol w:w="7200"/>
      </w:tblGrid>
      <w:tr>
        <w:tc>
          <w:tcPr>
            <w:tcW w:type="dxa" w:w="7200"/>
            <w:tcBorders>
              <w:top w:val="nil" w:color="FFFFFF" w:sz="0"/>
              <w:left w:val="nil" w:color="FFFFFF" w:sz="0"/>
              <w:bottom w:val="nil" w:color="FFFFFF" w:sz="0"/>
              <w:right w:val="nil" w:color="FFFFFF" w:sz="0"/>
            </w:tcBorders>
            <w:shd w:fill="0D1726" w:val="clear"/>
            <w:tcMar>
              <w:top w:type="dxa" w:w="160"/>
              <w:left w:type="dxa" w:w="300"/>
              <w:bottom w:type="dxa" w:w="160"/>
              <w:right w:type="dxa" w:w="300"/>
            </w:tcMar>
          </w:tcPr>
          <w:p>
            <w:pPr>
              <w:spacing w:after="60" w:before="0"/>
              <w:jc w:val="center"/>
            </w:pPr>
            <w:r>
              <w:rPr>
                <w:rFonts w:ascii="Arial" w:cs="Arial" w:eastAsia="Arial" w:hAnsi="Arial"/>
                <w:b/>
                <w:bCs/>
                <w:color w:val="E2C97E"/>
                <w:sz w:val="26"/>
                <w:szCs w:val="26"/>
              </w:rPr>
              <w:t xml:space="preserve">Luis Pardo</w:t>
            </w:r>
          </w:p>
          <w:p>
            <w:pPr>
              <w:spacing w:after="40" w:before="0"/>
              <w:jc w:val="center"/>
            </w:pPr>
            <w:r>
              <w:rPr>
                <w:rFonts w:ascii="Arial" w:cs="Arial" w:eastAsia="Arial" w:hAnsi="Arial"/>
                <w:color w:val="BBBBBB"/>
                <w:sz w:val="20"/>
                <w:szCs w:val="20"/>
              </w:rPr>
              <w:t xml:space="preserve">Doctorado en Tecnología Educativa · Universidad Autónoma de Querétaro</w:t>
            </w:r>
          </w:p>
          <w:p>
            <w:pPr>
              <w:spacing w:after="60" w:before="0"/>
              <w:jc w:val="center"/>
            </w:pPr>
            <w:r>
              <w:rPr>
                <w:rFonts w:ascii="Arial" w:cs="Arial" w:eastAsia="Arial" w:hAnsi="Arial"/>
                <w:color w:val="999999"/>
                <w:sz w:val="19"/>
                <w:szCs w:val="19"/>
              </w:rPr>
              <w:t xml:space="preserve">Director: Dra. Ileana Cruz Sánchez | Laboratorio: Lumina Labstech</w:t>
            </w:r>
          </w:p>
          <w:p>
            <w:pPr>
              <w:spacing w:after="0" w:before="0"/>
              <w:jc w:val="center"/>
            </w:pPr>
            <w:r>
              <w:rPr>
                <w:rFonts w:ascii="Arial" w:cs="Arial" w:eastAsia="Arial" w:hAnsi="Arial"/>
                <w:color w:val="888888"/>
                <w:sz w:val="18"/>
                <w:szCs w:val="18"/>
              </w:rPr>
              <w:t xml:space="preserve">Versión 1.0 · Abril 2026 · Documento para discusión académica</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Resumen Ejecutivo</w:t>
            </w:r>
          </w:p>
        </w:tc>
      </w:tr>
    </w:tbl>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9A84C" w:sz="20"/>
              <w:bottom w:val="nil" w:color="FFFFFF" w:sz="0"/>
              <w:right w:val="nil" w:color="FFFFFF" w:sz="0"/>
            </w:tcBorders>
            <w:shd w:fill="FDF8ED" w:val="clear"/>
            <w:tcMar>
              <w:top w:type="dxa" w:w="130"/>
              <w:left w:type="dxa" w:w="200"/>
              <w:bottom w:type="dxa" w:w="130"/>
              <w:right w:type="dxa" w:w="200"/>
            </w:tcMar>
          </w:tcPr>
          <w:p>
            <w:pPr>
              <w:spacing w:after="60" w:before="0"/>
            </w:pPr>
            <w:r>
              <w:rPr>
                <w:rFonts w:ascii="Arial" w:cs="Arial" w:eastAsia="Arial" w:hAnsi="Arial"/>
                <w:b/>
                <w:bCs/>
                <w:caps/>
                <w:color w:val="C9A84C"/>
                <w:sz w:val="20"/>
                <w:szCs w:val="20"/>
              </w:rPr>
              <w:t xml:space="preserve">ABSTRACT</w:t>
            </w:r>
          </w:p>
          <w:p>
            <w:pPr>
              <w:spacing w:after="0" w:before="0"/>
              <w:jc w:val="both"/>
            </w:pPr>
            <w:r>
              <w:rPr>
                <w:rFonts w:ascii="Arial" w:cs="Arial" w:eastAsia="Arial" w:hAnsi="Arial"/>
                <w:color w:val="2C3E50"/>
                <w:sz w:val="21"/>
                <w:szCs w:val="21"/>
              </w:rPr>
              <w:t xml:space="preserve">Este documento presenta el estado actual y la hoja de ruta de la Primera Iteración del Modelo ML para la anticipación de deserción académica en educación superior. El modelo implementa un Stacking Ensemble de tres learners base (XGBoost, Random Forest, Gradient Boosting) con una Red Neuronal Feedforward como meta-learner, entrenado sobre variables psicoemocionales, académicas y longitudinales. Se argumenta que el objetivo del modelo no es maximizar accuracy, sino maximizar la capacidad de detectar estudiantes en riesgo antes de que la deserción ocurra (Recall ≥ 0.80 en clase "Alto riesgo"). Se discuten las estrategias de generalización, el diseño temporal de los datos, las métricas de evaluación apropiadas para decisiones que afectan personas, y las líneas de extensión del modelo. El documento vincula este trabajo con el proyecto Lumina Labstech y el Paquete Arquitectónico SIPTech (PAS-SIPTech002).</w:t>
            </w:r>
          </w:p>
        </w:tc>
      </w:tr>
    </w:tbl>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1 — Arquitectura del Modelo ML</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Estado Actual del Modelo ML</w:t>
      </w:r>
    </w:p>
    <w:p>
      <w:pPr>
        <w:spacing w:after="100" w:before="60"/>
        <w:jc w:val="both"/>
      </w:pPr>
      <w:r>
        <w:rPr>
          <w:rFonts w:ascii="Arial" w:cs="Arial" w:eastAsia="Arial" w:hAnsi="Arial"/>
          <w:b w:val="false"/>
          <w:bCs w:val="false"/>
          <w:color w:val="2C3E50"/>
          <w:sz w:val="22"/>
          <w:szCs w:val="22"/>
        </w:rPr>
        <w:t xml:space="preserve">El modelo predictivo de deserción académica se inscribe en la tradición del Educational Data Mining (Baker &amp; Inventado, 2014) y los modelos de aprendizaje supervisado aplicados a retención estudiantil (Helal et al., 2018; Saarela &amp; Yener, 2020). Su característica diferenciadora respecto a modelos previos es la incorporación de variables psicoemocionales como predictores primarios, partiendo de la evidencia acumulada que señala que factores como la autoeficacia académica, el sentido de pertenencia y la regulación emocional son predictores más robustos de la permanencia escolar que el rendimiento académico aislado (Tinto, 1987; Pascarella &amp; Terenzini, 2005).</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Componente</w:t>
            </w:r>
          </w:p>
        </w:tc>
        <w:tc>
          <w:tcPr>
            <w:tcW w:type="dxa" w:w="63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Descripción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Tipo de modelo</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Supervised Learning Longitudinal Predictive Model (Clasificación multiclase ordenada)</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Features (X)</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Variables psicoemocionales (bienestar, autoeficacia, motivación, resiliencia, apoyo social, afiliación institucional) + variables académicas (rendimiento, asistencia, créditos aprobados) + datos longitudinales (mediciones en T1, T2, T3)</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Labels (y)</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Nivel de riesgo de deserción: 0 = Bajo (0.0–0.3) · 1 = Medio (0.3–0.6) · 2 = Alto (0.6–1.0)</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Nivel 1 — Base learners</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XGBoost (Chen &amp; Guestrin, 2016): gradient boosting basado en árboles con regularización L1/L2 nativa.
Random Forest (Breiman, 2001): ensemble de árboles de decisión con muestreo aleatorio de features.
Gradient Boosting (Friedman, 2001): optimización iterativa de función de pérdida mediante árboles débiles.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Nivel 2 — Meta-learner</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Red Neuronal Feedforward (FNN): aprende patrones de segundo orden sobre las predicciones de los base learners. 2–3 capas ocultas, activación ReLU, dropout para regularización (Srivastava et al., 2014).</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Mecanismo de stacking</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Wolpert (1992): el meta-learner no recibe los datos originales, sino las predicciones out-of-fold de los base learners, reduciendo el riesgo de overfitting a los datos de entrenamiento.</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Estrategia de validación</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K-fold estratificado (k=5 o k=10): preserva la distribución de clases en cada fold. Validación temporal: entrenar en T1, validar en T2-T3.</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Backend</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Python (scikit-learn, XGBoost, TensorFlow/PyTorch). Pipeline MLOps básico con logging de métricas.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Frontend</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Dashboard de visualización de riesgo: ingresa datos de estudiante → salida: nivel de riesgo + SHAP values para interpretación.</w:t>
            </w:r>
          </w:p>
        </w:tc>
      </w:tr>
    </w:tbl>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6DB5" w:sz="20"/>
              <w:bottom w:val="nil" w:color="FFFFFF" w:sz="0"/>
              <w:right w:val="nil" w:color="FFFFFF" w:sz="0"/>
            </w:tcBorders>
            <w:shd w:fill="EEF4FB" w:val="clear"/>
            <w:tcMar>
              <w:top w:type="dxa" w:w="130"/>
              <w:left w:type="dxa" w:w="200"/>
              <w:bottom w:type="dxa" w:w="130"/>
              <w:right w:type="dxa" w:w="200"/>
            </w:tcMar>
          </w:tcPr>
          <w:p>
            <w:pPr>
              <w:spacing w:after="60" w:before="0"/>
            </w:pPr>
            <w:r>
              <w:rPr>
                <w:rFonts w:ascii="Arial" w:cs="Arial" w:eastAsia="Arial" w:hAnsi="Arial"/>
                <w:b/>
                <w:bCs/>
                <w:caps/>
                <w:color w:val="2A6DB5"/>
                <w:sz w:val="20"/>
                <w:szCs w:val="20"/>
              </w:rPr>
              <w:t xml:space="preserve">NOTA TÉCNICA — STACKING</w:t>
            </w:r>
          </w:p>
          <w:p>
            <w:pPr>
              <w:spacing w:after="0" w:before="0"/>
              <w:jc w:val="both"/>
            </w:pPr>
            <w:r>
              <w:rPr>
                <w:rFonts w:ascii="Arial" w:cs="Arial" w:eastAsia="Arial" w:hAnsi="Arial"/>
                <w:color w:val="2C3E50"/>
                <w:sz w:val="21"/>
                <w:szCs w:val="21"/>
              </w:rPr>
              <w:t xml:space="preserve">El stacking (Wolpert, 1992) no es simplemente un promedio de predicciones. La FNN meta-learner recibe como input los vectores de probabilidad predichos por XGBoost, RF y GB (vía out-of-fold cross-validation), y aprende una función de combinación no lineal. Esto permite que el meta-learner corrija sistemáticamente los errores correlacionados de los base learners, capturando patrones que ningún modelo individual puede detectar. La diversidad de los tres base learners —árboles boosteados, bagging de árboles y redes neuronales— maximiza la reducción de varianza del ensemble (Opitz &amp; Maclin, 1999).</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2 — Discusión Crítica: Generalización del Modelo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¿Es Necesario Mejorar la Generalización?</w:t>
      </w:r>
    </w:p>
    <w:p>
      <w:pPr>
        <w:spacing w:after="100" w:before="60"/>
        <w:jc w:val="both"/>
      </w:pPr>
      <w:r>
        <w:rPr>
          <w:rFonts w:ascii="Arial" w:cs="Arial" w:eastAsia="Arial" w:hAnsi="Arial"/>
          <w:b w:val="false"/>
          <w:bCs w:val="false"/>
          <w:color w:val="2C3E50"/>
          <w:sz w:val="22"/>
          <w:szCs w:val="22"/>
        </w:rPr>
        <w:t xml:space="preserve">La respuesta es afirmativa y constituye la preocupación central de esta primera iteración. En contextos de predicción de comportamiento humano complejo —como la deserción académica—, el riesgo más grave no es un modelo que clasifique mal en el conjunto de entrenamiento, sino un modelo que generalice mal a nuevos estudiantes, nuevas cohortes y nuevos contextos institucionales. La distinción conceptual es precisa: un modelo con alto accuracy en train pero bajo accuracy en test no está aprendiendo; está memorizando (Domingos, 2012).</w:t>
      </w:r>
    </w:p>
    <w:p>
      <w:pPr>
        <w:spacing w:after="4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El principio rector: menor complejidad + mayor regularización = mejor generalización</w:t>
      </w:r>
    </w:p>
    <w:p>
      <w:pPr>
        <w:spacing w:after="100" w:before="60"/>
        <w:jc w:val="both"/>
      </w:pPr>
      <w:r>
        <w:rPr>
          <w:rFonts w:ascii="Arial" w:cs="Arial" w:eastAsia="Arial" w:hAnsi="Arial"/>
          <w:b w:val="false"/>
          <w:bCs w:val="false"/>
          <w:color w:val="2C3E50"/>
          <w:sz w:val="22"/>
          <w:szCs w:val="22"/>
        </w:rPr>
        <w:t xml:space="preserve">Hastie, Tibshirani y Friedman (2009) formalizan el trade-off bias-variance: aumentar la complejidad del modelo reduce el sesgo pero aumenta la varianza (overfitting). En datos de comportamiento humano —ruidosos, con alta variabilidad inter-individual y limitada por el tamaño muestral inicial—, el balance óptimo se inclina hacia la regularización y la parsimonia.</w:t>
      </w:r>
    </w:p>
    <w:p>
      <w:pPr>
        <w:spacing w:after="24"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9A84C" w:sz="20"/>
              <w:bottom w:val="nil" w:color="FFFFFF" w:sz="0"/>
              <w:right w:val="nil" w:color="FFFFFF" w:sz="0"/>
            </w:tcBorders>
            <w:shd w:fill="FDF8ED" w:val="clear"/>
            <w:tcMar>
              <w:top w:type="dxa" w:w="130"/>
              <w:left w:type="dxa" w:w="200"/>
              <w:bottom w:type="dxa" w:w="130"/>
              <w:right w:type="dxa" w:w="200"/>
            </w:tcMar>
          </w:tcPr>
          <w:p>
            <w:pPr>
              <w:spacing w:after="60" w:before="0"/>
            </w:pPr>
            <w:r>
              <w:rPr>
                <w:rFonts w:ascii="Arial" w:cs="Arial" w:eastAsia="Arial" w:hAnsi="Arial"/>
                <w:b/>
                <w:bCs/>
                <w:caps/>
                <w:color w:val="C9A84C"/>
                <w:sz w:val="20"/>
                <w:szCs w:val="20"/>
              </w:rPr>
              <w:t xml:space="preserve">DOMINGOS (2012) — REGLA FUNDAMENTAL</w:t>
            </w:r>
          </w:p>
          <w:p>
            <w:pPr>
              <w:spacing w:after="0" w:before="0"/>
              <w:jc w:val="both"/>
            </w:pPr>
            <w:r>
              <w:rPr>
                <w:rFonts w:ascii="Arial" w:cs="Arial" w:eastAsia="Arial" w:hAnsi="Arial"/>
                <w:color w:val="2C3E50"/>
                <w:sz w:val="21"/>
                <w:szCs w:val="21"/>
              </w:rPr>
              <w:t xml:space="preserve">"It is better to be simple than complex. Every time you add a parameter to your model, you are making a bet that it will improve generalization. If you are wrong, you lose." Aplicado al stacking ensemble: la FNN meta-learner debe ser simple (2 capas, dropout moderado, early stopping), no profunda. Los base learners deben tener hiperparámetros moderados, no maximizados.</w:t>
            </w:r>
          </w:p>
        </w:tc>
      </w:tr>
    </w:tbl>
    <w:p>
      <w:pPr>
        <w:spacing w:after="40" w:before="0"/>
      </w:pPr>
      <w:r>
        <w:rPr>
          <w:sz w:val="20"/>
          <w:szCs w:val="20"/>
        </w:rPr>
        <w:t xml:space="preserve"/>
      </w:r>
    </w:p>
    <w:p>
      <w:pPr>
        <w:pStyle w:val="Heading3"/>
        <w:spacing w:after="100" w:before="200"/>
      </w:pPr>
      <w:r>
        <w:rPr>
          <w:rFonts w:ascii="Arial" w:cs="Arial" w:eastAsia="Arial" w:hAnsi="Arial"/>
          <w:b/>
          <w:bCs/>
          <w:color w:val="2C3E50"/>
          <w:sz w:val="24"/>
          <w:szCs w:val="24"/>
        </w:rPr>
        <w:t xml:space="preserve">Estrategias concretas de regularización</w:t>
      </w:r>
    </w:p>
    <w:p>
      <w:pPr>
        <w:pStyle w:val="ListParagraph"/>
        <w:numPr>
          <w:ilvl w:val="0"/>
          <w:numId w:val="2"/>
        </w:numPr>
        <w:spacing w:after="60" w:before="40"/>
      </w:pPr>
      <w:r>
        <w:rPr>
          <w:rFonts w:ascii="Arial" w:cs="Arial" w:eastAsia="Arial" w:hAnsi="Arial"/>
          <w:color w:val="2C3E50"/>
          <w:sz w:val="22"/>
          <w:szCs w:val="22"/>
        </w:rPr>
        <w:t xml:space="preserve">XGBoost: parámetros alpha (L1) y lambda (L2) activos. max_depth ≤ 6. subsample ≤ 0.8. colsample_bytree ≤ 0.8 (Chen &amp; Guestrin, 2016).</w:t>
      </w:r>
    </w:p>
    <w:p>
      <w:pPr>
        <w:pStyle w:val="ListParagraph"/>
        <w:numPr>
          <w:ilvl w:val="0"/>
          <w:numId w:val="2"/>
        </w:numPr>
        <w:spacing w:after="60" w:before="40"/>
      </w:pPr>
      <w:r>
        <w:rPr>
          <w:rFonts w:ascii="Arial" w:cs="Arial" w:eastAsia="Arial" w:hAnsi="Arial"/>
          <w:color w:val="2C3E50"/>
          <w:sz w:val="22"/>
          <w:szCs w:val="22"/>
        </w:rPr>
        <w:t xml:space="preserve">Random Forest: max_features="sqrt". max_depth moderado. min_samples_leaf ≥ 5 para evitar nodos muy específicos (Breiman, 2001).</w:t>
      </w:r>
    </w:p>
    <w:p>
      <w:pPr>
        <w:pStyle w:val="ListParagraph"/>
        <w:numPr>
          <w:ilvl w:val="0"/>
          <w:numId w:val="2"/>
        </w:numPr>
        <w:spacing w:after="60" w:before="40"/>
      </w:pPr>
      <w:r>
        <w:rPr>
          <w:rFonts w:ascii="Arial" w:cs="Arial" w:eastAsia="Arial" w:hAnsi="Arial"/>
          <w:color w:val="2C3E50"/>
          <w:sz w:val="22"/>
          <w:szCs w:val="22"/>
        </w:rPr>
        <w:t xml:space="preserve">Gradient Boosting: learning_rate bajo (0.05–0.1) con más estimadores. Early stopping basado en validación (Friedman, 2001).</w:t>
      </w:r>
    </w:p>
    <w:p>
      <w:pPr>
        <w:pStyle w:val="ListParagraph"/>
        <w:numPr>
          <w:ilvl w:val="0"/>
          <w:numId w:val="2"/>
        </w:numPr>
        <w:spacing w:after="60" w:before="40"/>
      </w:pPr>
      <w:r>
        <w:rPr>
          <w:rFonts w:ascii="Arial" w:cs="Arial" w:eastAsia="Arial" w:hAnsi="Arial"/>
          <w:color w:val="2C3E50"/>
          <w:sz w:val="22"/>
          <w:szCs w:val="22"/>
        </w:rPr>
        <w:t xml:space="preserve">FNN meta-learner: Dropout(0.3–0.5) entre capas. L2 weight decay en el optimizador (Adam). Early stopping con patience=10. Máximo 3 capas ocultas de 64-32-16 neuronas (Srivastava et al., 2014).</w:t>
      </w:r>
    </w:p>
    <w:p>
      <w:pPr>
        <w:spacing w:after="40" w:before="0"/>
      </w:pPr>
      <w:r>
        <w:rPr>
          <w:sz w:val="20"/>
          <w:szCs w:val="20"/>
        </w:rPr>
        <w:t xml:space="preserve"/>
      </w:r>
    </w:p>
    <w:p>
      <w:pPr>
        <w:pStyle w:val="Heading3"/>
        <w:spacing w:after="100" w:before="200"/>
      </w:pPr>
      <w:r>
        <w:rPr>
          <w:rFonts w:ascii="Arial" w:cs="Arial" w:eastAsia="Arial" w:hAnsi="Arial"/>
          <w:b/>
          <w:bCs/>
          <w:color w:val="2C3E50"/>
          <w:sz w:val="24"/>
          <w:szCs w:val="24"/>
        </w:rPr>
        <w:t xml:space="preserve">Por qué no maximizar accuracy</w:t>
      </w:r>
    </w:p>
    <w:p>
      <w:pPr>
        <w:spacing w:after="100" w:before="60"/>
        <w:jc w:val="both"/>
      </w:pPr>
      <w:r>
        <w:rPr>
          <w:rFonts w:ascii="Arial" w:cs="Arial" w:eastAsia="Arial" w:hAnsi="Arial"/>
          <w:b w:val="false"/>
          <w:bCs w:val="false"/>
          <w:color w:val="2C3E50"/>
          <w:sz w:val="22"/>
          <w:szCs w:val="22"/>
        </w:rPr>
        <w:t xml:space="preserve">El accuracy como métrica única es engañoso en datos desbalanceados y en problemas con consecuencias asimétricas. Un modelo que predice "nadie deserta" tendría un accuracy de 70% si el 70% de los estudiantes no deserta, pero sería completamente inútil. El objetivo real del modelo es anticipar fenómenos humanos complejos —no clasificar correctamente un conjunto de validación—, lo que requiere métricas orientadas a la decisión: Recall, F1 ponderado, AUC-ROC y análisis de equidad (Barocas et al., 2019; Provost &amp; Fawcett, 2013).</w:t>
      </w:r>
    </w:p>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3 — Primera Iteración del Modelo ML</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Primera Iteración: Proceso de Mejora Sistemática</w:t>
      </w:r>
    </w:p>
    <w:p>
      <w:pPr>
        <w:spacing w:after="100" w:before="60"/>
        <w:jc w:val="both"/>
      </w:pPr>
      <w:r>
        <w:rPr>
          <w:rFonts w:ascii="Arial" w:cs="Arial" w:eastAsia="Arial" w:hAnsi="Arial"/>
          <w:b w:val="false"/>
          <w:bCs w:val="false"/>
          <w:color w:val="2C3E50"/>
          <w:sz w:val="22"/>
          <w:szCs w:val="22"/>
        </w:rPr>
        <w:t xml:space="preserve">La denominación "Primera Iteración del Modelo ML" no es arbitraria: refleja el enfoque metodológico de la Investigación Basada en Diseño (IBD, McKenney &amp; Reeves, 2018), donde el sistema se construye, evalúa y rediseña en ciclos explícitos. Esta iteración se enfoca en la solidez de los fundamentos —instrumento, datos, regularización— antes de escalar el modelo.</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Dimensión de Iteración</w:t>
            </w:r>
          </w:p>
        </w:tc>
        <w:tc>
          <w:tcPr>
            <w:tcW w:type="dxa" w:w="63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Acción Concreta y Justificación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Mejora del instrumento
por retroalimentación</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El instrumento de 165 ítems Likert (6 dimensiones) se itera con feedback de evaluadores externos antes de la aplicación final. Se valida consistencia interna (α de Cronbach ≥ 0.7 por dimensión) y estructura factorial mediante AFC (Nunnally &amp; Bernstein, 1994).</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Reestructuración del instrumento</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Eliminación de ítems redundantes o con baja carga factorial. Consolidación de ítems ambiguos. Objetivo: reducir de 165 a un conjunto parsimonioso sin perder validez de constructo.</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Regularización del modelo</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Aplicar L2 (Ridge) en la FNN meta-learner. Regularización nativa L1/L2 en XGBoost (parámetros alpha y lambda). Early stopping en Gradient Boosting. El principio es explícito: menor complejidad + mayor regularización = mejor generalización (Hastie et al., 2009).</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Simplificación estructural</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No maximizar el número de capas de la FNN. Partir de 2 capas ocultas y agregar solo si la pérdida de validación mejora significativamente. Seguir el principio de parsimonia de Domingos (2012): "It is better to be simple than complex."</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Diversidad de modelos (ensemble)</w:t>
            </w:r>
          </w:p>
        </w:tc>
        <w:tc>
          <w:tcPr>
            <w:tcW w:type="dxa" w:w="63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XGBoost, RF y GB son modelos con distintos sesgos y varianzas. Su combinación reduce el error esperado vía el trade-off bias-variance. La FNN como meta-learner captura interacciones no lineales entre sus predicciones (Opitz &amp; Maclin, 1999).</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Validación rigurosa del instrumento</w:t>
            </w:r>
          </w:p>
        </w:tc>
        <w:tc>
          <w:tcPr>
            <w:tcW w:type="dxa" w:w="63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Validez de contenido (juicio de expertos), validez convergente (correlación con SF-12), y confiabilidad test-retest (r ≥ 0.76, ya establecida en el instrumento SF-12).</w:t>
            </w:r>
          </w:p>
        </w:tc>
      </w:tr>
    </w:tbl>
    <w:p>
      <w:pPr>
        <w:spacing w:after="160" w:before="0"/>
      </w:pPr>
      <w:r>
        <w:rPr>
          <w:sz w:val="20"/>
          <w:szCs w:val="20"/>
        </w:rPr>
        <w:t xml:space="preserve"/>
      </w:r>
    </w:p>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4 — Diseño Longitudinal: La Clave Científica del Modelo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Enfoque Longitudinal: Por qué la Temporalidad es No Negociable</w:t>
      </w:r>
    </w:p>
    <w:p>
      <w:pPr>
        <w:spacing w:after="100" w:before="60"/>
        <w:jc w:val="both"/>
      </w:pPr>
      <w:r>
        <w:rPr>
          <w:rFonts w:ascii="Arial" w:cs="Arial" w:eastAsia="Arial" w:hAnsi="Arial"/>
          <w:b w:val="false"/>
          <w:bCs w:val="false"/>
          <w:color w:val="2C3E50"/>
          <w:sz w:val="22"/>
          <w:szCs w:val="22"/>
        </w:rPr>
        <w:t xml:space="preserve">El error más frecuente en modelos de predicción educativa es la violación del orden temporal: usar información disponible en el momento de la deserción (o posterior) como predictor. Si el instrumento psicoemocional se aplica al mismo tiempo que se registra si el estudiante desertó, el modelo no está prediciendo —está describiendo. La anticipación requiere que el label (deserción) ocurra estrictamente después de las mediciones (Saarela &amp; Yener, 2020; Labarthe et al., 2018).</w:t>
      </w:r>
    </w:p>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4ECDC4" w:sz="20"/>
              <w:bottom w:val="nil" w:color="FFFFFF" w:sz="0"/>
              <w:right w:val="nil" w:color="FFFFFF" w:sz="0"/>
            </w:tcBorders>
            <w:shd w:fill="E8F8F7" w:val="clear"/>
            <w:tcMar>
              <w:top w:type="dxa" w:w="130"/>
              <w:left w:type="dxa" w:w="200"/>
              <w:bottom w:type="dxa" w:w="130"/>
              <w:right w:type="dxa" w:w="200"/>
            </w:tcMar>
          </w:tcPr>
          <w:p>
            <w:pPr>
              <w:spacing w:after="60" w:before="0"/>
            </w:pPr>
            <w:r>
              <w:rPr>
                <w:rFonts w:ascii="Arial" w:cs="Arial" w:eastAsia="Arial" w:hAnsi="Arial"/>
                <w:b/>
                <w:bCs/>
                <w:caps/>
                <w:color w:val="4ECDC4"/>
                <w:sz w:val="20"/>
                <w:szCs w:val="20"/>
              </w:rPr>
              <w:t xml:space="preserve">PRINCIPIO FUNDAMENTAL DE PREDICCIÓN TEMPORAL</w:t>
            </w:r>
          </w:p>
          <w:p>
            <w:pPr>
              <w:spacing w:after="0" w:before="0"/>
              <w:jc w:val="both"/>
            </w:pPr>
            <w:r>
              <w:rPr>
                <w:rFonts w:ascii="Arial" w:cs="Arial" w:eastAsia="Arial" w:hAnsi="Arial"/>
                <w:color w:val="2C3E50"/>
                <w:sz w:val="21"/>
                <w:szCs w:val="21"/>
              </w:rPr>
              <w:t xml:space="preserve">"En cualquier modelo predictivo de comportamiento humano, el outcome debe ocurrir en un momento posterior a las features que lo predicen. Usar información simultánea o posterior al evento como predictor produce un modelo descriptivo, no predictivo, con un rendimiento artificialmente inflado que colapsa al aplicarlo a nuevos estudiantes." (Adaptado de Saarela &amp; Yener, 2020)</w:t>
            </w:r>
          </w:p>
        </w:tc>
      </w:tr>
    </w:tbl>
    <w:p>
      <w:pPr>
        <w:spacing w:after="8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Diseño temporal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tblHeader/>
        </w:trPr>
        <w:tc>
          <w:tcPr>
            <w:tcW w:type="dxa" w:w="14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Momento</w:t>
            </w:r>
          </w:p>
        </w:tc>
        <w:tc>
          <w:tcPr>
            <w:tcW w:type="dxa" w:w="26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Tipo de Dato</w:t>
            </w:r>
          </w:p>
        </w:tc>
        <w:tc>
          <w:tcPr>
            <w:tcW w:type="dxa" w:w="26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Variables</w:t>
            </w:r>
          </w:p>
        </w:tc>
        <w:tc>
          <w:tcPr>
            <w:tcW w:type="dxa" w:w="27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Rol en el Modelo</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2A6DB5"/>
                <w:sz w:val="18"/>
                <w:szCs w:val="18"/>
              </w:rPr>
              <w:t xml:space="preserve">T0
(Inicio semestre)</w:t>
            </w:r>
          </w:p>
        </w:tc>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Psicoemocional
+ Sociodemográfico</w:t>
            </w:r>
          </w:p>
        </w:tc>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7"/>
                <w:szCs w:val="17"/>
              </w:rPr>
              <w:t xml:space="preserve">Bienestar emocional, autoeficacia, motivación intrínseca, apoyo social percibido, sentido de pertenencia. Datos socioeconómicos y antecedentes académicos.</w:t>
            </w:r>
          </w:p>
        </w:tc>
        <w:tc>
          <w:tcPr>
            <w:tcW w:type="dxa" w:w="2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Input (X) — Línea base. Medición pre-exposición al estrés académico.</w:t>
            </w:r>
          </w:p>
        </w:tc>
      </w:tr>
      <w:tr>
        <w:tc>
          <w:tcPr>
            <w:tcW w:type="dxa" w:w="1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2A6DB5"/>
                <w:sz w:val="18"/>
                <w:szCs w:val="18"/>
              </w:rPr>
              <w:t xml:space="preserve">T1
(Mes 2–3)</w:t>
            </w:r>
          </w:p>
        </w:tc>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Académico
+ Psicoemocional</w:t>
            </w:r>
          </w:p>
        </w:tc>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7"/>
                <w:szCs w:val="17"/>
              </w:rPr>
              <w:t xml:space="preserve">Calificaciones primer parcial, asistencia, ítems de estrés académico y burnout. Segunda medición del instrumento psicoemocional.</w:t>
            </w:r>
          </w:p>
        </w:tc>
        <w:tc>
          <w:tcPr>
            <w:tcW w:type="dxa" w:w="2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Input (X) — Señal temprana. Captura el primer ajuste del estudiante al contexto académico.</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2A6DB5"/>
                <w:sz w:val="18"/>
                <w:szCs w:val="18"/>
              </w:rPr>
              <w:t xml:space="preserve">T2
(Mes 4–5)</w:t>
            </w:r>
          </w:p>
        </w:tc>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Longitudinal
+ Académico</w:t>
            </w:r>
          </w:p>
        </w:tc>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7"/>
                <w:szCs w:val="17"/>
              </w:rPr>
              <w:t xml:space="preserve">Créditos acumulados, promedio actualizado, indicadores de compromiso académico (engagement). Tercera medición psicoemocional.</w:t>
            </w:r>
          </w:p>
        </w:tc>
        <w:tc>
          <w:tcPr>
            <w:tcW w:type="dxa" w:w="2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Input (X) — Señal intermedia. El modelo puede ya generar predicciones con base en trayectoria.</w:t>
            </w:r>
          </w:p>
        </w:tc>
      </w:tr>
      <w:tr>
        <w:tc>
          <w:tcPr>
            <w:tcW w:type="dxa" w:w="1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2A6DB5"/>
                <w:sz w:val="18"/>
                <w:szCs w:val="18"/>
              </w:rPr>
              <w:t xml:space="preserve">T3
(Fin semestre)</w:t>
            </w:r>
          </w:p>
        </w:tc>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Label
(outcome)</w:t>
            </w:r>
          </w:p>
        </w:tc>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7"/>
                <w:szCs w:val="17"/>
              </w:rPr>
              <w:t xml:space="preserve">¿El estudiante desertó? 0 = No desertó · 1 = Desertó. Verificado con registros institucionales.</w:t>
            </w:r>
          </w:p>
        </w:tc>
        <w:tc>
          <w:tcPr>
            <w:tcW w:type="dxa" w:w="2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Label (y) — Ocurre DESPUÉS de todas las mediciones. Principio fundamental del diseño longitudinal.</w:t>
            </w:r>
          </w:p>
        </w:tc>
      </w:tr>
    </w:tbl>
    <w:p>
      <w:pPr>
        <w:spacing w:after="80" w:before="0"/>
      </w:pPr>
      <w:r>
        <w:rPr>
          <w:sz w:val="20"/>
          <w:szCs w:val="20"/>
        </w:rPr>
        <w:t xml:space="preserve"/>
      </w:r>
    </w:p>
    <w:p>
      <w:pPr>
        <w:pStyle w:val="Heading3"/>
        <w:spacing w:after="100" w:before="200"/>
      </w:pPr>
      <w:r>
        <w:rPr>
          <w:rFonts w:ascii="Arial" w:cs="Arial" w:eastAsia="Arial" w:hAnsi="Arial"/>
          <w:b/>
          <w:bCs/>
          <w:color w:val="2C3E50"/>
          <w:sz w:val="24"/>
          <w:szCs w:val="24"/>
        </w:rPr>
        <w:t xml:space="preserve">Implicaciones para el modelo</w:t>
      </w:r>
    </w:p>
    <w:p>
      <w:pPr>
        <w:pStyle w:val="ListParagraph"/>
        <w:numPr>
          <w:ilvl w:val="0"/>
          <w:numId w:val="2"/>
        </w:numPr>
        <w:spacing w:after="60" w:before="40"/>
      </w:pPr>
      <w:r>
        <w:rPr>
          <w:rFonts w:ascii="Arial" w:cs="Arial" w:eastAsia="Arial" w:hAnsi="Arial"/>
          <w:color w:val="2C3E50"/>
          <w:sz w:val="22"/>
          <w:szCs w:val="22"/>
        </w:rPr>
        <w:t xml:space="preserve">El modelo se entrena con datos de T0+T1+T2 y predice si el estudiante desertará al final del semestre (T3).</w:t>
      </w:r>
    </w:p>
    <w:p>
      <w:pPr>
        <w:pStyle w:val="ListParagraph"/>
        <w:numPr>
          <w:ilvl w:val="0"/>
          <w:numId w:val="2"/>
        </w:numPr>
        <w:spacing w:after="60" w:before="40"/>
      </w:pPr>
      <w:r>
        <w:rPr>
          <w:rFonts w:ascii="Arial" w:cs="Arial" w:eastAsia="Arial" w:hAnsi="Arial"/>
          <w:color w:val="2C3E50"/>
          <w:sz w:val="22"/>
          <w:szCs w:val="22"/>
        </w:rPr>
        <w:t xml:space="preserve">En la validación cruzada temporal, se entrena con cohortes anteriores y se valida en la cohorte más reciente (never train on the future).</w:t>
      </w:r>
    </w:p>
    <w:p>
      <w:pPr>
        <w:pStyle w:val="ListParagraph"/>
        <w:numPr>
          <w:ilvl w:val="0"/>
          <w:numId w:val="2"/>
        </w:numPr>
        <w:spacing w:after="60" w:before="40"/>
      </w:pPr>
      <w:r>
        <w:rPr>
          <w:rFonts w:ascii="Arial" w:cs="Arial" w:eastAsia="Arial" w:hAnsi="Arial"/>
          <w:color w:val="2C3E50"/>
          <w:sz w:val="22"/>
          <w:szCs w:val="22"/>
        </w:rPr>
        <w:t xml:space="preserve">Conforme se acumulan cohortes (UPQ, primer semestre de recolección), el modelo puede hacer predicciones en T0 (inicio), con intervalos de confianza actualizables en T1 y T2.</w:t>
      </w:r>
    </w:p>
    <w:p>
      <w:pPr>
        <w:spacing w:after="4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Justificación científica del diseño longitudinal</w:t>
      </w:r>
    </w:p>
    <w:p>
      <w:pPr>
        <w:spacing w:after="100" w:before="60"/>
        <w:jc w:val="both"/>
      </w:pPr>
      <w:r>
        <w:rPr>
          <w:rFonts w:ascii="Arial" w:cs="Arial" w:eastAsia="Arial" w:hAnsi="Arial"/>
          <w:b w:val="false"/>
          <w:bCs w:val="false"/>
          <w:color w:val="2C3E50"/>
          <w:sz w:val="22"/>
          <w:szCs w:val="22"/>
        </w:rPr>
        <w:t xml:space="preserve">Los modelos longitudinales capturan la dinámica del fenómeno, no solo su estado en un momento. En deserción académica, la trayectoria importa más que el punto de partida: un estudiante con alta autoeficacia en T0 que experimenta una caída aguda en T1 tiene mayor riesgo que uno con autoeficacia moderada y estable. Esto no es capturable por modelos cross-seccionales (Labarthe et al., 2018; Estrada-Molina &amp; Fuentes-Cancell, 2023).</w:t>
      </w:r>
    </w:p>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5 — Estrategia de Evaluación del Modelo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Métricas de Evaluación: Decisiones con Consecuencias Humanas</w:t>
      </w:r>
    </w:p>
    <w:p>
      <w:pPr>
        <w:spacing w:after="100" w:before="60"/>
        <w:jc w:val="both"/>
      </w:pPr>
      <w:r>
        <w:rPr>
          <w:rFonts w:ascii="Arial" w:cs="Arial" w:eastAsia="Arial" w:hAnsi="Arial"/>
          <w:b w:val="false"/>
          <w:bCs w:val="false"/>
          <w:color w:val="2C3E50"/>
          <w:sz w:val="22"/>
          <w:szCs w:val="22"/>
        </w:rPr>
        <w:t xml:space="preserve">Cuando las predicciones de un modelo se traducen en decisiones sobre personas reales —en este caso, intervenciones de tutorías, becas, atención psicológica—, el marco de evaluación debe ser ético además de técnico. Barocas et al. (2019) señalan que la elección de métricas de evaluación es en sí misma una decisión moral: priorizar el Recall sobre la Precisión equivale a decir "prefiero errar hacia la precaución". Esta es la posición correcta en un modelo de anticipación de deserción.</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Métrica / Concepto</w:t>
            </w:r>
          </w:p>
        </w:tc>
        <w:tc>
          <w:tcPr>
            <w:tcW w:type="dxa" w:w="69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Definición y Justificación para este Problema</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Recall (Sensibilidad)
⭐ MÉTRICA PRINCIPAL</w:t>
            </w:r>
          </w:p>
        </w:tc>
        <w:tc>
          <w:tcPr>
            <w:tcW w:type="dxa" w:w="69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TP / (TP + FN). En este contexto: de todos los estudiantes que SÍ desertarán, ¿qué proporción identifica el modelo? El falso negativo es el error más costoso: dejar sin detectar a un estudiante en riesgo real. Meta: Recall ≥ 0.80 en la clase "Alto riesgo" (Fawcett, 2006).</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Precisión (Precision)</w:t>
            </w:r>
          </w:p>
        </w:tc>
        <w:tc>
          <w:tcPr>
            <w:tcW w:type="dxa" w:w="69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TP / (TP + FP). Indica qué proporción de los estudiantes clasificados como "en riesgo" realmente lo están. Una precisión baja implica intervenciones innecesarias (costo institucional). Balance con Recall via umbral ajustable.</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F1-Score</w:t>
            </w:r>
          </w:p>
        </w:tc>
        <w:tc>
          <w:tcPr>
            <w:tcW w:type="dxa" w:w="69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Media armónica de Precisión y Recall: 2*(P*R)/(P+R). Útil cuando las clases están desbalanceadas (caso probable: más estudiantes que no desertan que que desertan). Se calcula por clase y promedio macro.</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AUC-ROC</w:t>
            </w:r>
          </w:p>
        </w:tc>
        <w:tc>
          <w:tcPr>
            <w:tcW w:type="dxa" w:w="69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Área bajo la curva ROC. Mide la capacidad discriminativa del modelo independientemente del umbral. Objetivo: AUC ≥ 0.80 para validación preliminar. AUC = 0.5 es azar, AUC = 1.0 es clasificación perfecta (Fawcett, 2006).</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Matriz de confusión</w:t>
            </w:r>
          </w:p>
        </w:tc>
        <w:tc>
          <w:tcPr>
            <w:tcW w:type="dxa" w:w="69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3x3 (multiclase: Bajo / Medio / Alto). Permite visualizar no solo los errores totales, sino los tipos de error: confundir "Bajo" con "Alto" es más grave que confundir "Bajo" con "Medio". Guía el ajuste del umbral de decisión.</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Ajuste de umbral
(threshold tuning)</w:t>
            </w:r>
          </w:p>
        </w:tc>
        <w:tc>
          <w:tcPr>
            <w:tcW w:type="dxa" w:w="69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Por defecto, la FNN usa P(deserción) ≥ 0.5 como corte. Para aumentar Recall en casos críticos, se baja el umbral de "Alto riesgo" a 0.4 o incluso 0.3. Se evalúa el impacto en el precision-recall tradeoff (Davis &amp; Goadrich, 2006). Clasificación escalonada: 0.0–0.3 = Bajo · 0.3–0.6 = Medio · 0.6–1.0 = Alto.</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Validación cruzada
temporal</w:t>
            </w:r>
          </w:p>
        </w:tc>
        <w:tc>
          <w:tcPr>
            <w:tcW w:type="dxa" w:w="69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Train en T0-T1 → Validar en T2-T3. Esto simula el uso real del modelo: predecir antes de que ocurra la deserción. Evita el data leakage temporal, que es el error más común en modelos de predicción educativa (Saarela &amp; Yener, 2020).</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Interpretabilidad
(SHAP values)</w:t>
            </w:r>
          </w:p>
        </w:tc>
        <w:tc>
          <w:tcPr>
            <w:tcW w:type="dxa" w:w="69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SHAP (Lundberg &amp; Lee, 2017): descompone la predicción de cada estudiante en la contribución de cada variable. No solo dice "este estudiante es alto riesgo", sino "la baja autoeficacia y el bajo sentido de pertenencia son los factores principales". Crítico para intervención informada.</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Consideración ética</w:t>
            </w:r>
          </w:p>
        </w:tc>
        <w:tc>
          <w:tcPr>
            <w:tcW w:type="dxa" w:w="69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Cuando las decisiones del modelo afectan personas reales (intervenciones educativas, recursos institucionales), el error tiene consecuencias humanas. Barocas et al. (2019) advierten: un modelo con alta accuracy agregada puede ser inequitativo para subgrupos vulnerables. Monitorear métricas por subgrupo (género, condición socioeconómica, origen étnico).</w:t>
            </w:r>
          </w:p>
        </w:tc>
      </w:tr>
    </w:tbl>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0392B" w:sz="20"/>
              <w:bottom w:val="nil" w:color="FFFFFF" w:sz="0"/>
              <w:right w:val="nil" w:color="FFFFFF" w:sz="0"/>
            </w:tcBorders>
            <w:shd w:fill="FDEDEC" w:val="clear"/>
            <w:tcMar>
              <w:top w:type="dxa" w:w="130"/>
              <w:left w:type="dxa" w:w="200"/>
              <w:bottom w:type="dxa" w:w="130"/>
              <w:right w:type="dxa" w:w="200"/>
            </w:tcMar>
          </w:tcPr>
          <w:p>
            <w:pPr>
              <w:spacing w:after="60" w:before="0"/>
            </w:pPr>
            <w:r>
              <w:rPr>
                <w:rFonts w:ascii="Arial" w:cs="Arial" w:eastAsia="Arial" w:hAnsi="Arial"/>
                <w:b/>
                <w:bCs/>
                <w:caps/>
                <w:color w:val="C0392B"/>
                <w:sz w:val="20"/>
                <w:szCs w:val="20"/>
              </w:rPr>
              <w:t xml:space="preserve">ARGUMENTO PARA EL DR: RECALL &gt; ACCURACY</w:t>
            </w:r>
          </w:p>
          <w:p>
            <w:pPr>
              <w:spacing w:after="0" w:before="0"/>
              <w:jc w:val="both"/>
            </w:pPr>
            <w:r>
              <w:rPr>
                <w:rFonts w:ascii="Arial" w:cs="Arial" w:eastAsia="Arial" w:hAnsi="Arial"/>
                <w:color w:val="2C3E50"/>
                <w:sz w:val="21"/>
                <w:szCs w:val="21"/>
              </w:rPr>
              <w:t xml:space="preserve">Supongamos que de 100 estudiantes, 20 desertarán. Un modelo que clasifica a todos como "No deserta" tiene 80% de accuracy. Un modelo con 75% de accuracy pero Recall=0.85 en la clase "Alta riesgo" es enormemente superior para la misión institucional: detecta a 17 de 20 estudiantes en riesgo. El costo de un falso negativo (no detectar un estudiante que desertará) es exponencialmente mayor que el costo de un falso positivo (ofrecer apoyo innecesario). Esta asimetría de costos debe guiar el diseño y la evaluación del modelo (Provost &amp; Fawcett, 2013).</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6 — Extensiones del Modelo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Líneas de Extensión: Hacia un Modelo de Anticipación Dinámica</w:t>
      </w:r>
    </w:p>
    <w:p>
      <w:pPr>
        <w:spacing w:after="100" w:before="60"/>
        <w:jc w:val="both"/>
      </w:pPr>
      <w:r>
        <w:rPr>
          <w:rFonts w:ascii="Arial" w:cs="Arial" w:eastAsia="Arial" w:hAnsi="Arial"/>
          <w:b w:val="false"/>
          <w:bCs w:val="false"/>
          <w:color w:val="2C3E50"/>
          <w:sz w:val="22"/>
          <w:szCs w:val="22"/>
        </w:rPr>
        <w:t xml:space="preserve">El modelo actual es un punto de partida robusto, no el destino final. Las siguientes extensiones están ordenadas por viabilidad técnica y valor científico, y pueden desarrollarse conforme se acumulen datos longitudinales.</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Línea de Extensión</w:t>
            </w:r>
          </w:p>
        </w:tc>
        <w:tc>
          <w:tcPr>
            <w:tcW w:type="dxa" w:w="67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Descripción Técnica y Justificación</w:t>
            </w:r>
          </w:p>
        </w:tc>
      </w:tr>
      <w:tr>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Predicción temporal dinámica
(Riesgo en mes 3, mes 5)</w:t>
            </w:r>
          </w:p>
        </w:tc>
        <w:tc>
          <w:tcPr>
            <w:tcW w:type="dxa" w:w="6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En lugar de una predicción al final del semestre, el modelo genera scores de riesgo en cada punto temporal (T0, T1, T2). Permite intervención progresiva y temprana. Se implementa como un modelo de clasificación recurrente o como modelos independientes por timepoint con calibración de probabilidades (Niculescu-Mizil &amp; Caruana, 2005).</w:t>
            </w:r>
          </w:p>
        </w:tc>
      </w:tr>
      <w:tr>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Survival Analysis
(Análisis de Supervivencia)</w:t>
            </w:r>
          </w:p>
        </w:tc>
        <w:tc>
          <w:tcPr>
            <w:tcW w:type="dxa" w:w="6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Modela el tiempo hasta que ocurre la deserción, no solo si ocurre. Modelos: Cox Proportional Hazards, Kaplan-Meier. Permite responder: ¿en qué semana es más probable que un estudiante de perfil X deserte? Altamente relevante para diseño de intervenciones oportunas (Ishwaran &amp; Kogalur, 2007).</w:t>
            </w:r>
          </w:p>
        </w:tc>
      </w:tr>
      <w:tr>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Time Series ML
(Trayectorias cognitivas)</w:t>
            </w:r>
          </w:p>
        </w:tc>
        <w:tc>
          <w:tcPr>
            <w:tcW w:type="dxa" w:w="6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Modelar la trayectoria longitudinal completa como una serie de tiempo: LSTM (Long Short-Term Memory) o Transformer para datos educativos secuenciales. Captura patrones de deterioro o recuperación que modelos puntuales no detectan. Alta potencia predictiva con suficientes datos (Hochreiter &amp; Schmidhuber, 1997).</w:t>
            </w:r>
          </w:p>
        </w:tc>
      </w:tr>
      <w:tr>
        <w:tc>
          <w:tcPr>
            <w:tcW w:type="dxa" w:w="26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Aprendizaje continuo
(Continual Learning)</w:t>
            </w:r>
          </w:p>
        </w:tc>
        <w:tc>
          <w:tcPr>
            <w:tcW w:type="dxa" w:w="6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El modelo se actualiza incrementalmente con nuevas cohortes sin olvidar el conocimiento previo (catastrophic forgetting). Permite que el SIPTech mejore con cada semestre de datos institucionales (Parisi et al., 2019).</w:t>
            </w:r>
          </w:p>
        </w:tc>
      </w:tr>
      <w:tr>
        <w:tc>
          <w:tcPr>
            <w:tcW w:type="dxa" w:w="2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Fairness y ML equitativo</w:t>
            </w:r>
          </w:p>
        </w:tc>
        <w:tc>
          <w:tcPr>
            <w:tcW w:type="dxa" w:w="6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C3E50"/>
                <w:sz w:val="18"/>
                <w:szCs w:val="18"/>
              </w:rPr>
              <w:t xml:space="preserve">Evaluar y corregir sesgos del modelo por subgrupos sensibles (género, nivel socioeconómico, etnicidad). Métricas: equalized odds, demographic parity. Crítico para uso institucional ético (Barocas et al., 2019).</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7 — Recolección de Datos Reales: Estrategia UPQ</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Necesidad y Diseño de la Recolección de Datos</w:t>
      </w:r>
    </w:p>
    <w:p>
      <w:pPr>
        <w:spacing w:after="100" w:before="60"/>
        <w:jc w:val="both"/>
      </w:pPr>
      <w:r>
        <w:rPr>
          <w:rFonts w:ascii="Arial" w:cs="Arial" w:eastAsia="Arial" w:hAnsi="Arial"/>
          <w:b w:val="false"/>
          <w:bCs w:val="false"/>
          <w:color w:val="2C3E50"/>
          <w:sz w:val="22"/>
          <w:szCs w:val="22"/>
        </w:rPr>
        <w:t xml:space="preserve">El modelo actual opera con datos simulados/piloto. La validación científica y la utilidad institucional requieren datos reales de estudiantes en contexto mexicano. La Universidad Politécnica de Querétaro (UPQ) es el primer sitio de recolección propuesto, dado el perfil de sus estudiantes (sector público, alta vulnerabilidad socioeconómica) y la pertinencia del problema de deserción en ese contexto.</w:t>
      </w:r>
    </w:p>
    <w:p>
      <w:pPr>
        <w:spacing w:after="8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Diseño de la estrategia de recolección</w:t>
      </w:r>
    </w:p>
    <w:p>
      <w:pPr>
        <w:pStyle w:val="ListParagraph"/>
        <w:numPr>
          <w:ilvl w:val="0"/>
          <w:numId w:val="2"/>
        </w:numPr>
        <w:spacing w:after="60" w:before="40"/>
      </w:pPr>
      <w:r>
        <w:rPr>
          <w:rFonts w:ascii="Arial" w:cs="Arial" w:eastAsia="Arial" w:hAnsi="Arial"/>
          <w:color w:val="2C3E50"/>
          <w:sz w:val="22"/>
          <w:szCs w:val="22"/>
        </w:rPr>
        <w:t xml:space="preserve">Instrumento: 165 ítems Likert (6 dimensiones psicoemocionales) + SF-12 Mental Component Summary + datos académicos institucionales (previo convenio con UPQ).</w:t>
      </w:r>
    </w:p>
    <w:p>
      <w:pPr>
        <w:pStyle w:val="ListParagraph"/>
        <w:numPr>
          <w:ilvl w:val="0"/>
          <w:numId w:val="2"/>
        </w:numPr>
        <w:spacing w:after="60" w:before="40"/>
      </w:pPr>
      <w:r>
        <w:rPr>
          <w:rFonts w:ascii="Arial" w:cs="Arial" w:eastAsia="Arial" w:hAnsi="Arial"/>
          <w:color w:val="2C3E50"/>
          <w:sz w:val="22"/>
          <w:szCs w:val="22"/>
        </w:rPr>
        <w:t xml:space="preserve">Puntos temporales: T0 (inicio semestre), T1 (mes 2–3), T2 (mes 4–5), T3 (fin semestre — registro de deserción institucional).</w:t>
      </w:r>
    </w:p>
    <w:p>
      <w:pPr>
        <w:pStyle w:val="ListParagraph"/>
        <w:numPr>
          <w:ilvl w:val="0"/>
          <w:numId w:val="2"/>
        </w:numPr>
        <w:spacing w:after="60" w:before="40"/>
      </w:pPr>
      <w:r>
        <w:rPr>
          <w:rFonts w:ascii="Arial" w:cs="Arial" w:eastAsia="Arial" w:hAnsi="Arial"/>
          <w:color w:val="2C3E50"/>
          <w:sz w:val="22"/>
          <w:szCs w:val="22"/>
        </w:rPr>
        <w:t xml:space="preserve">Muestra objetivo: n ≥ 200 estudiantes por cohorte (poder estadístico adecuado para stacking ensemble con 3 clases). Convenio UPQ para acceso a datos institucionales anónimos.</w:t>
      </w:r>
    </w:p>
    <w:p>
      <w:pPr>
        <w:pStyle w:val="ListParagraph"/>
        <w:numPr>
          <w:ilvl w:val="0"/>
          <w:numId w:val="2"/>
        </w:numPr>
        <w:spacing w:after="60" w:before="40"/>
      </w:pPr>
      <w:r>
        <w:rPr>
          <w:rFonts w:ascii="Arial" w:cs="Arial" w:eastAsia="Arial" w:hAnsi="Arial"/>
          <w:color w:val="2C3E50"/>
          <w:sz w:val="22"/>
          <w:szCs w:val="22"/>
        </w:rPr>
        <w:t xml:space="preserve">Consentimiento informado: aprobado por comité de ética antes del inicio de recolección. Datos anonimizados antes de ingreso al pipeline ML.</w:t>
      </w:r>
    </w:p>
    <w:p>
      <w:pPr>
        <w:pStyle w:val="ListParagraph"/>
        <w:numPr>
          <w:ilvl w:val="0"/>
          <w:numId w:val="2"/>
        </w:numPr>
        <w:spacing w:after="60" w:before="40"/>
      </w:pPr>
      <w:r>
        <w:rPr>
          <w:rFonts w:ascii="Arial" w:cs="Arial" w:eastAsia="Arial" w:hAnsi="Arial"/>
          <w:color w:val="2C3E50"/>
          <w:sz w:val="22"/>
          <w:szCs w:val="22"/>
        </w:rPr>
        <w:t xml:space="preserve">Plan de vinculación: la primera cohorte del curso Lumina Labstech en UPQ sirve simultáneamente como grupo formativo y como fuente de datos controlados.</w:t>
      </w:r>
    </w:p>
    <w:p>
      <w:pPr>
        <w:spacing w:after="4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Requerimiento de equipo de cómputo</w:t>
      </w:r>
    </w:p>
    <w:p>
      <w:pPr>
        <w:spacing w:after="100" w:before="60"/>
        <w:jc w:val="both"/>
      </w:pPr>
      <w:r>
        <w:rPr>
          <w:rFonts w:ascii="Arial" w:cs="Arial" w:eastAsia="Arial" w:hAnsi="Arial"/>
          <w:b w:val="false"/>
          <w:bCs w:val="false"/>
          <w:color w:val="2C3E50"/>
          <w:sz w:val="22"/>
          <w:szCs w:val="22"/>
        </w:rPr>
        <w:t xml:space="preserve">Para la implementación del pipeline ML completo (entrenamiento, validación cruzada, búsqueda de hiperparámetros) con n ≥ 200 y stacking ensemble, se requiere:</w:t>
      </w:r>
    </w:p>
    <w:p>
      <w:pPr>
        <w:pStyle w:val="ListParagraph"/>
        <w:numPr>
          <w:ilvl w:val="0"/>
          <w:numId w:val="2"/>
        </w:numPr>
        <w:spacing w:after="60" w:before="40"/>
      </w:pPr>
      <w:r>
        <w:rPr>
          <w:rFonts w:ascii="Arial" w:cs="Arial" w:eastAsia="Arial" w:hAnsi="Arial"/>
          <w:color w:val="2C3E50"/>
          <w:sz w:val="22"/>
          <w:szCs w:val="22"/>
        </w:rPr>
        <w:t xml:space="preserve">GPU básica (NVIDIA RTX 3060 o superior) o acceso a Google Colab Pro/Kaggle para entrenamiento de la FNN meta-learner.</w:t>
      </w:r>
    </w:p>
    <w:p>
      <w:pPr>
        <w:pStyle w:val="ListParagraph"/>
        <w:numPr>
          <w:ilvl w:val="0"/>
          <w:numId w:val="2"/>
        </w:numPr>
        <w:spacing w:after="60" w:before="40"/>
      </w:pPr>
      <w:r>
        <w:rPr>
          <w:rFonts w:ascii="Arial" w:cs="Arial" w:eastAsia="Arial" w:hAnsi="Arial"/>
          <w:color w:val="2C3E50"/>
          <w:sz w:val="22"/>
          <w:szCs w:val="22"/>
        </w:rPr>
        <w:t xml:space="preserve">Almacenamiento: ≥ 50 GB para datasets, checkpoints de modelos y logs de experimentos.</w:t>
      </w:r>
    </w:p>
    <w:p>
      <w:pPr>
        <w:pStyle w:val="ListParagraph"/>
        <w:numPr>
          <w:ilvl w:val="0"/>
          <w:numId w:val="2"/>
        </w:numPr>
        <w:spacing w:after="60" w:before="40"/>
      </w:pPr>
      <w:r>
        <w:rPr>
          <w:rFonts w:ascii="Arial" w:cs="Arial" w:eastAsia="Arial" w:hAnsi="Arial"/>
          <w:color w:val="2C3E50"/>
          <w:sz w:val="22"/>
          <w:szCs w:val="22"/>
        </w:rPr>
        <w:t xml:space="preserve">RAM: ≥ 16 GB para procesamiento de matrices de features densas.</w:t>
      </w:r>
    </w:p>
    <w:p>
      <w:pPr>
        <w:pStyle w:val="ListParagraph"/>
        <w:numPr>
          <w:ilvl w:val="0"/>
          <w:numId w:val="2"/>
        </w:numPr>
        <w:spacing w:after="60" w:before="40"/>
      </w:pPr>
      <w:r>
        <w:rPr>
          <w:rFonts w:ascii="Arial" w:cs="Arial" w:eastAsia="Arial" w:hAnsi="Arial"/>
          <w:color w:val="2C3E50"/>
          <w:sz w:val="22"/>
          <w:szCs w:val="22"/>
        </w:rPr>
        <w:t xml:space="preserve">MLflow o equivalente para tracking de experimentos: permite reproducibilidad y comparación entre iteraciones.</w:t>
      </w:r>
    </w:p>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8 — Organización del Proyecto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Estructura del Proyecto: Primera Iteración Modelo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Carpeta</w:t>
            </w:r>
          </w:p>
        </w:tc>
        <w:tc>
          <w:tcPr>
            <w:tcW w:type="dxa" w:w="32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Subcarpetas</w:t>
            </w:r>
          </w:p>
        </w:tc>
        <w:tc>
          <w:tcPr>
            <w:tcW w:type="dxa" w:w="37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Contenido</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Primera Iteracion Modelo ML/</w:t>
            </w:r>
          </w:p>
        </w:tc>
        <w:tc>
          <w:tcPr>
            <w:tcW w:type="dxa" w:w="3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/dataset</w:t>
            </w:r>
          </w:p>
        </w:tc>
        <w:tc>
          <w:tcPr>
            <w:tcW w:type="dxa" w:w="3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/raw_data (instrumentos .csv) · /processed (features engineered) · /labels · /splits (train/val/test)</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
            </w:r>
          </w:p>
        </w:tc>
        <w:tc>
          <w:tcPr>
            <w:tcW w:type="dxa" w:w="3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 codigo</w:t>
            </w:r>
          </w:p>
        </w:tc>
        <w:tc>
          <w:tcPr>
            <w:tcW w:type="dxa" w:w="3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/preprocessing · /base_learners (xgb_model.py, rf_model.py, gb_model.py) · /meta_learner (fnn_model.py) · /stacking (ensemble.py) · /evaluation (metrics.py, confusion.py, shap_viz.py)</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
            </w:r>
          </w:p>
        </w:tc>
        <w:tc>
          <w:tcPr>
            <w:tcW w:type="dxa" w:w="3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/backend</w:t>
            </w:r>
          </w:p>
        </w:tc>
        <w:tc>
          <w:tcPr>
            <w:tcW w:type="dxa" w:w="3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/api (Flask/FastAPI: endpoint /predict) · /pipeline (MLOps: logging, versionado con MLflow) · /tests</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
            </w:r>
          </w:p>
        </w:tc>
        <w:tc>
          <w:tcPr>
            <w:tcW w:type="dxa" w:w="3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/frontend</w:t>
            </w:r>
          </w:p>
        </w:tc>
        <w:tc>
          <w:tcPr>
            <w:tcW w:type="dxa" w:w="3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/dashboard (React o Streamlit) · /components (risk_card, shap_chart, confusion_matrix) · /assets</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
            </w:r>
          </w:p>
        </w:tc>
        <w:tc>
          <w:tcPr>
            <w:tcW w:type="dxa" w:w="3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/documentacion</w:t>
            </w:r>
          </w:p>
        </w:tc>
        <w:tc>
          <w:tcPr>
            <w:tcW w:type="dxa" w:w="37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/resumen_ejecutivo_v1.docx · /iteracion_01_notas.md · /instrumento_psicoemocional.pdf · /referencias_apa.bib · /pas_siptech002.md</w:t>
            </w:r>
          </w:p>
        </w:tc>
      </w:tr>
      <w:tr>
        <w:tc>
          <w:tcPr>
            <w:tcW w:type="dxa" w:w="24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2A6DB5"/>
                <w:sz w:val="19"/>
                <w:szCs w:val="19"/>
              </w:rPr>
              <w:t xml:space="preserve"/>
            </w:r>
          </w:p>
        </w:tc>
        <w:tc>
          <w:tcPr>
            <w:tcW w:type="dxa" w:w="3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0D1726"/>
                <w:sz w:val="18"/>
                <w:szCs w:val="18"/>
              </w:rPr>
              <w:t xml:space="preserve">/notebooks</w:t>
            </w:r>
          </w:p>
        </w:tc>
        <w:tc>
          <w:tcPr>
            <w:tcW w:type="dxa" w:w="37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/EDA.ipynb · /feature_engineering.ipynb · /model_training.ipynb · /evaluation.ipynb</w:t>
            </w:r>
          </w:p>
        </w:tc>
      </w:tr>
    </w:tbl>
    <w:p>
      <w:pPr>
        <w:spacing w:after="8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9A84C" w:sz="20"/>
              <w:bottom w:val="nil" w:color="FFFFFF" w:sz="0"/>
              <w:right w:val="nil" w:color="FFFFFF" w:sz="0"/>
            </w:tcBorders>
            <w:shd w:fill="FDF8ED" w:val="clear"/>
            <w:tcMar>
              <w:top w:type="dxa" w:w="130"/>
              <w:left w:type="dxa" w:w="200"/>
              <w:bottom w:type="dxa" w:w="130"/>
              <w:right w:type="dxa" w:w="200"/>
            </w:tcMar>
          </w:tcPr>
          <w:p>
            <w:pPr>
              <w:spacing w:after="60" w:before="0"/>
            </w:pPr>
            <w:r>
              <w:rPr>
                <w:rFonts w:ascii="Arial" w:cs="Arial" w:eastAsia="Arial" w:hAnsi="Arial"/>
                <w:b/>
                <w:bCs/>
                <w:caps/>
                <w:color w:val="C9A84C"/>
                <w:sz w:val="20"/>
                <w:szCs w:val="20"/>
              </w:rPr>
              <w:t xml:space="preserve">VINCULACIÓN CON PAS-SIPTech002</w:t>
            </w:r>
          </w:p>
          <w:p>
            <w:pPr>
              <w:spacing w:after="0" w:before="0"/>
              <w:jc w:val="both"/>
            </w:pPr>
            <w:r>
              <w:rPr>
                <w:rFonts w:ascii="Arial" w:cs="Arial" w:eastAsia="Arial" w:hAnsi="Arial"/>
                <w:color w:val="2C3E50"/>
                <w:sz w:val="21"/>
                <w:szCs w:val="21"/>
              </w:rPr>
              <w:t xml:space="preserve">Este proyecto constituye el Paquete Arquitectónico SIPTech (PAS) número 002 de Lumina Labstech. El PAS-SIPTech002 integra: C1) Prompts del instrumento psicoemocional, C2) Skills ML (skill_siptech_predictor, skill_psycho_instrument_scorer), C3) Marco bibliográfico completo, C4) Python+GitHub+Claude, C5) IBD + stacking ensemble + SF-12, C6) Marco ético de decisiones sobre personas, C7) AT (investigador → modelo ML → estudiantes en riesgo → intervención institucional), C8) Versión 0.1 (Abril 2026). DOI Zenodo pendiente de primer release.</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Sección 9 — Cierre Estratégico</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Skills Desarrolladas, Prompts como Herramienta y Vinculación Institucional</w:t>
      </w:r>
    </w:p>
    <w:p>
      <w:pPr>
        <w:pStyle w:val="Heading2"/>
        <w:spacing w:after="140" w:before="300"/>
      </w:pPr>
      <w:r>
        <w:rPr>
          <w:rFonts w:ascii="Arial" w:cs="Arial" w:eastAsia="Arial" w:hAnsi="Arial"/>
          <w:b/>
          <w:bCs/>
          <w:color w:val="2A6DB5"/>
          <w:sz w:val="28"/>
          <w:szCs w:val="28"/>
        </w:rPr>
        <w:t xml:space="preserve">Inventario de habilidades desarrolladas en esta iteración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Habilidad</w:t>
            </w:r>
          </w:p>
        </w:tc>
        <w:tc>
          <w:tcPr>
            <w:tcW w:type="dxa" w:w="216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Dominio</w:t>
            </w:r>
          </w:p>
        </w:tc>
        <w:tc>
          <w:tcPr>
            <w:tcW w:type="dxa" w:w="4200"/>
            <w:tcBorders>
              <w:top w:val="single" w:color="0D1726" w:sz="2"/>
              <w:left w:val="single" w:color="0D1726" w:sz="2"/>
              <w:bottom w:val="single" w:color="0D1726" w:sz="2"/>
              <w:right w:val="single" w:color="0D1726" w:sz="2"/>
            </w:tcBorders>
            <w:shd w:fill="0D1726" w:val="clear"/>
            <w:tcMar>
              <w:top w:type="dxa" w:w="90"/>
              <w:left w:type="dxa" w:w="130"/>
              <w:bottom w:type="dxa" w:w="90"/>
              <w:right w:type="dxa" w:w="130"/>
            </w:tcMar>
            <w:vAlign w:val="center"/>
          </w:tcPr>
          <w:p>
            <w:pPr>
              <w:spacing w:after="0" w:before="0"/>
              <w:jc w:val="center"/>
            </w:pPr>
            <w:r>
              <w:rPr>
                <w:rFonts w:ascii="Arial" w:cs="Arial" w:eastAsia="Arial" w:hAnsi="Arial"/>
                <w:b/>
                <w:bCs/>
                <w:color w:val="E2C97E"/>
                <w:sz w:val="19"/>
                <w:szCs w:val="19"/>
              </w:rPr>
              <w:t xml:space="preserve">Evidencia / Aplicación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Diseño de stacking ensemble ML</w:t>
            </w:r>
          </w:p>
        </w:tc>
        <w:tc>
          <w:tcPr>
            <w:tcW w:type="dxa" w:w="21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Machine Learning</w:t>
            </w:r>
          </w:p>
        </w:tc>
        <w:tc>
          <w:tcPr>
            <w:tcW w:type="dxa" w:w="4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Arquitectura XGBoost+RF+GB → FNN. Comprensión de bias-variance tradeoff aplicado a predicción de deserción.</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Diseño longitudinal de investigación</w:t>
            </w:r>
          </w:p>
        </w:tc>
        <w:tc>
          <w:tcPr>
            <w:tcW w:type="dxa" w:w="21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Metodología</w:t>
            </w:r>
          </w:p>
        </w:tc>
        <w:tc>
          <w:tcPr>
            <w:tcW w:type="dxa" w:w="4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Separación temporal features/labels. Validación cruzada temporal (T0-T1 → T2-T3). Prevención de data leakage.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Instrumentación psicoemocional</w:t>
            </w:r>
          </w:p>
        </w:tc>
        <w:tc>
          <w:tcPr>
            <w:tcW w:type="dxa" w:w="21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Psicología / Investigación</w:t>
            </w:r>
          </w:p>
        </w:tc>
        <w:tc>
          <w:tcPr>
            <w:tcW w:type="dxa" w:w="4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Instrumento 165 ítems Likert (6 dimensiones) con validez de contenido, constructo y confiabilidad (α ≥ 0.7, r=0.76 SF-12).</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Evaluación ML orientada a decisiones humanas</w:t>
            </w:r>
          </w:p>
        </w:tc>
        <w:tc>
          <w:tcPr>
            <w:tcW w:type="dxa" w:w="21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Ética / ML</w:t>
            </w:r>
          </w:p>
        </w:tc>
        <w:tc>
          <w:tcPr>
            <w:tcW w:type="dxa" w:w="4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Priorización de Recall sobre accuracy. Threshold tuning. Fairness por subgrupo. SHAP para interpretabilidad.</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IBD aplicada a sistemas ML</w:t>
            </w:r>
          </w:p>
        </w:tc>
        <w:tc>
          <w:tcPr>
            <w:tcW w:type="dxa" w:w="21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Diseño de investigación</w:t>
            </w:r>
          </w:p>
        </w:tc>
        <w:tc>
          <w:tcPr>
            <w:tcW w:type="dxa" w:w="4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Primera Iteración documentada: mejora de instrumento → regularización → simplificación → validación → rediseño.</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Prompt Engineering para investigación</w:t>
            </w:r>
          </w:p>
        </w:tc>
        <w:tc>
          <w:tcPr>
            <w:tcW w:type="dxa" w:w="21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IA aplicada</w:t>
            </w:r>
          </w:p>
        </w:tc>
        <w:tc>
          <w:tcPr>
            <w:tcW w:type="dxa" w:w="4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Uso de prompts como artefactos cognitivos mediadores: captura de ideas, estructuración de argumentos, generación de código, redacción académica.</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Documentación técnico-científica</w:t>
            </w:r>
          </w:p>
        </w:tc>
        <w:tc>
          <w:tcPr>
            <w:tcW w:type="dxa" w:w="216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Comunicación</w:t>
            </w:r>
          </w:p>
        </w:tc>
        <w:tc>
          <w:tcPr>
            <w:tcW w:type="dxa" w:w="4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Resúmenes ejecutivos, PAS, DOCX académicos, READMEs GitHub, diagramas SVG, landing pages.</w:t>
            </w:r>
          </w:p>
        </w:tc>
      </w:tr>
      <w:tr>
        <w:tc>
          <w:tcPr>
            <w:tcW w:type="dxa" w:w="30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bCs/>
                <w:color w:val="0D1726"/>
                <w:sz w:val="19"/>
                <w:szCs w:val="19"/>
              </w:rPr>
              <w:t xml:space="preserve">Arquitectura de laboratorio de investigación</w:t>
            </w:r>
          </w:p>
        </w:tc>
        <w:tc>
          <w:tcPr>
            <w:tcW w:type="dxa" w:w="216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2A6DB5"/>
                <w:sz w:val="18"/>
                <w:szCs w:val="18"/>
              </w:rPr>
              <w:t xml:space="preserve">Gestión</w:t>
            </w:r>
          </w:p>
        </w:tc>
        <w:tc>
          <w:tcPr>
            <w:tcW w:type="dxa" w:w="4200"/>
            <w:tcBorders>
              <w:top w:val="single" w:color="CCCCCC" w:sz="1"/>
              <w:left w:val="single" w:color="CCCCCC" w:sz="1"/>
              <w:bottom w:val="single" w:color="CCCCCC" w:sz="1"/>
              <w:right w:val="single" w:color="CCCCCC" w:sz="1"/>
            </w:tcBorders>
            <w:shd w:fill="F4F6FF" w:val="clear"/>
            <w:tcMar>
              <w:top w:type="dxa" w:w="70"/>
              <w:left w:type="dxa" w:w="110"/>
              <w:bottom w:type="dxa" w:w="70"/>
              <w:right w:type="dxa" w:w="110"/>
            </w:tcMar>
          </w:tcPr>
          <w:p>
            <w:pPr>
              <w:spacing w:after="50" w:before="0"/>
              <w:jc w:val="both"/>
            </w:pPr>
            <w:r>
              <w:rPr>
                <w:rFonts w:ascii="Arial" w:cs="Arial" w:eastAsia="Arial" w:hAnsi="Arial"/>
                <w:b w:val="false"/>
                <w:bCs w:val="false"/>
                <w:color w:val="718096"/>
                <w:sz w:val="17"/>
                <w:szCs w:val="17"/>
              </w:rPr>
              <w:t xml:space="preserve">Lumina Labstech: Obsidian + Notion + GitHub + Claude Code. PAS Framework v1.0 como unidad citable.</w:t>
            </w:r>
          </w:p>
        </w:tc>
      </w:tr>
    </w:tbl>
    <w:p>
      <w:pPr>
        <w:spacing w:after="8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Los prompts como herramienta cognitiva y de desarrollo</w:t>
      </w:r>
    </w:p>
    <w:p>
      <w:pPr>
        <w:spacing w:after="100" w:before="60"/>
        <w:jc w:val="both"/>
      </w:pPr>
      <w:r>
        <w:rPr>
          <w:rFonts w:ascii="Arial" w:cs="Arial" w:eastAsia="Arial" w:hAnsi="Arial"/>
          <w:b w:val="false"/>
          <w:bCs w:val="false"/>
          <w:color w:val="2C3E50"/>
          <w:sz w:val="22"/>
          <w:szCs w:val="22"/>
        </w:rPr>
        <w:t xml:space="preserve">En el marco del SIPTech-001 (Modelo Cognitivo Personal), los prompts utilizados en esta investigación no son solo instrucciones para una IA: son artefactos mediadores (Engeström, 1987) que estructuran el pensamiento del investigador, extienden su memoria de trabajo (Clark &amp; Chalmers, 1998) y producen salidas de calidad académica en menos tiempo. Se han documentado como componente C1 del PAS-SIPTech002 y pueden citarse, versionarse y publicarse.</w:t>
      </w:r>
    </w:p>
    <w:p>
      <w:pPr>
        <w:pStyle w:val="ListParagraph"/>
        <w:numPr>
          <w:ilvl w:val="0"/>
          <w:numId w:val="2"/>
        </w:numPr>
        <w:spacing w:after="60" w:before="40"/>
      </w:pPr>
      <w:r>
        <w:rPr>
          <w:rFonts w:ascii="Arial" w:cs="Arial" w:eastAsia="Arial" w:hAnsi="Arial"/>
          <w:color w:val="2C3E50"/>
          <w:sz w:val="22"/>
          <w:szCs w:val="22"/>
        </w:rPr>
        <w:t xml:space="preserve">Prompt de diseño arquitectónico: "Diseña la arquitectura de un stacking ensemble para predicción de deserción con las siguientes características..."</w:t>
      </w:r>
    </w:p>
    <w:p>
      <w:pPr>
        <w:pStyle w:val="ListParagraph"/>
        <w:numPr>
          <w:ilvl w:val="0"/>
          <w:numId w:val="2"/>
        </w:numPr>
        <w:spacing w:after="60" w:before="40"/>
      </w:pPr>
      <w:r>
        <w:rPr>
          <w:rFonts w:ascii="Arial" w:cs="Arial" w:eastAsia="Arial" w:hAnsi="Arial"/>
          <w:color w:val="2C3E50"/>
          <w:sz w:val="22"/>
          <w:szCs w:val="22"/>
        </w:rPr>
        <w:t xml:space="preserve">Prompt de generación de argumentos: "Justifica científicamente por qué Recall es más importante que accuracy en un modelo de predicción de deserción. Incluye citas APA 7."</w:t>
      </w:r>
    </w:p>
    <w:p>
      <w:pPr>
        <w:pStyle w:val="ListParagraph"/>
        <w:numPr>
          <w:ilvl w:val="0"/>
          <w:numId w:val="2"/>
        </w:numPr>
        <w:spacing w:after="60" w:before="40"/>
      </w:pPr>
      <w:r>
        <w:rPr>
          <w:rFonts w:ascii="Arial" w:cs="Arial" w:eastAsia="Arial" w:hAnsi="Arial"/>
          <w:color w:val="2C3E50"/>
          <w:sz w:val="22"/>
          <w:szCs w:val="22"/>
        </w:rPr>
        <w:t xml:space="preserve">Prompt de revisión crítica: "¿Qué está faltando en esta arquitectura ML que un experto en informática cuestionaría primero?"</w:t>
      </w:r>
    </w:p>
    <w:p>
      <w:pPr>
        <w:spacing w:after="40" w:before="0"/>
      </w:pPr>
      <w:r>
        <w:rPr>
          <w:sz w:val="20"/>
          <w:szCs w:val="20"/>
        </w:rPr>
        <w:t xml:space="preserve"/>
      </w:r>
    </w:p>
    <w:p>
      <w:pPr>
        <w:pStyle w:val="Heading2"/>
        <w:spacing w:after="140" w:before="300"/>
      </w:pPr>
      <w:r>
        <w:rPr>
          <w:rFonts w:ascii="Arial" w:cs="Arial" w:eastAsia="Arial" w:hAnsi="Arial"/>
          <w:b/>
          <w:bCs/>
          <w:color w:val="2A6DB5"/>
          <w:sz w:val="28"/>
          <w:szCs w:val="28"/>
        </w:rPr>
        <w:t xml:space="preserve">Solicitud de apoyo: equipo y estudiantes</w:t>
      </w:r>
    </w:p>
    <w:p>
      <w:pPr>
        <w:spacing w:after="100" w:before="60"/>
        <w:jc w:val="both"/>
      </w:pPr>
      <w:r>
        <w:rPr>
          <w:rFonts w:ascii="Arial" w:cs="Arial" w:eastAsia="Arial" w:hAnsi="Arial"/>
          <w:b w:val="false"/>
          <w:bCs w:val="false"/>
          <w:color w:val="2C3E50"/>
          <w:sz w:val="22"/>
          <w:szCs w:val="22"/>
        </w:rPr>
        <w:t xml:space="preserve">El presente proyecto justifica la solicitud de apoyo institucional en dos dimensiones:</w:t>
      </w:r>
    </w:p>
    <w:p>
      <w:pPr>
        <w:pStyle w:val="ListParagraph"/>
        <w:numPr>
          <w:ilvl w:val="0"/>
          <w:numId w:val="2"/>
        </w:numPr>
        <w:spacing w:after="60" w:before="40"/>
      </w:pPr>
      <w:r>
        <w:rPr>
          <w:rFonts w:ascii="Arial" w:cs="Arial" w:eastAsia="Arial" w:hAnsi="Arial"/>
          <w:color w:val="2C3E50"/>
          <w:sz w:val="22"/>
          <w:szCs w:val="22"/>
        </w:rPr>
        <w:t xml:space="preserve">Equipo de cómputo: GPU para entrenamiento de la FNN y procesamiento del stacking ensemble (estimado ~$800–1,200 USD o equivalente en acceso a cómputo institucional).</w:t>
      </w:r>
    </w:p>
    <w:p>
      <w:pPr>
        <w:pStyle w:val="ListParagraph"/>
        <w:numPr>
          <w:ilvl w:val="0"/>
          <w:numId w:val="2"/>
        </w:numPr>
        <w:spacing w:after="60" w:before="40"/>
      </w:pPr>
      <w:r>
        <w:rPr>
          <w:rFonts w:ascii="Arial" w:cs="Arial" w:eastAsia="Arial" w:hAnsi="Arial"/>
          <w:color w:val="2C3E50"/>
          <w:sz w:val="22"/>
          <w:szCs w:val="22"/>
        </w:rPr>
        <w:t xml:space="preserve">Estudiantes colaboradores: 2–3 estudiantes de ingeniería en sistemas o ciencias computacionales que puedan participar en la primera cohorte Lumina Labstech y contribuir al pipeline ML bajo co-tutoría. El curso es gratuito para ellos; su aportación son horas de desarrollo documentado en GitHub.</w:t>
      </w:r>
    </w:p>
    <w:p>
      <w:pPr>
        <w:spacing w:after="40" w:before="0"/>
      </w:pPr>
      <w:r>
        <w:rPr>
          <w:sz w:val="20"/>
          <w:szCs w:val="20"/>
        </w:rP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4ECDC4" w:sz="20"/>
              <w:bottom w:val="nil" w:color="FFFFFF" w:sz="0"/>
              <w:right w:val="nil" w:color="FFFFFF" w:sz="0"/>
            </w:tcBorders>
            <w:shd w:fill="E8F8F7" w:val="clear"/>
            <w:tcMar>
              <w:top w:type="dxa" w:w="130"/>
              <w:left w:type="dxa" w:w="200"/>
              <w:bottom w:type="dxa" w:w="130"/>
              <w:right w:type="dxa" w:w="200"/>
            </w:tcMar>
          </w:tcPr>
          <w:p>
            <w:pPr>
              <w:spacing w:after="60" w:before="0"/>
            </w:pPr>
            <w:r>
              <w:rPr>
                <w:rFonts w:ascii="Arial" w:cs="Arial" w:eastAsia="Arial" w:hAnsi="Arial"/>
                <w:b/>
                <w:bCs/>
                <w:caps/>
                <w:color w:val="4ECDC4"/>
                <w:sz w:val="20"/>
                <w:szCs w:val="20"/>
              </w:rPr>
              <w:t xml:space="preserve">VINCULACIÓN: LUMINA LABSTECH + MODELO ML + TESIS</w:t>
            </w:r>
          </w:p>
          <w:p>
            <w:pPr>
              <w:spacing w:after="0" w:before="0"/>
              <w:jc w:val="both"/>
            </w:pPr>
            <w:r>
              <w:rPr>
                <w:rFonts w:ascii="Arial" w:cs="Arial" w:eastAsia="Arial" w:hAnsi="Arial"/>
                <w:color w:val="2C3E50"/>
                <w:sz w:val="21"/>
                <w:szCs w:val="21"/>
              </w:rPr>
              <w:t xml:space="preserve">El modelo ML de predicción de deserción es simultáneamente: (1) el Objetivo Específico 3 de la tesis doctoral (OE3: implementar SIPTech con stacking ensemble), (2) el PAS-SIPTech002 de Lumina Labstech (demostrable en el Demo Day), y (3) la base del Artículo 3 del pipeline de publicaciones. Esto significa que el trabajo en el modelo ML no es paralelo a la tesis: ES la tesis en su dimensión computacional. Cada mejora al modelo es directamente un avance en la producción académica.</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D1726" w:val="clear"/>
            <w:tcMar>
              <w:top w:type="dxa" w:w="110"/>
              <w:left w:type="dxa" w:w="240"/>
              <w:bottom w:type="dxa" w:w="110"/>
              <w:right w:type="dxa" w:w="240"/>
            </w:tcMar>
          </w:tcPr>
          <w:p>
            <w:pPr>
              <w:spacing w:after="0" w:before="0"/>
            </w:pPr>
            <w:r>
              <w:rPr>
                <w:rFonts w:ascii="Arial" w:cs="Arial" w:eastAsia="Arial" w:hAnsi="Arial"/>
                <w:b/>
                <w:bCs/>
                <w:caps/>
                <w:color w:val="E2C97E"/>
                <w:spacing w:val="40"/>
                <w:sz w:val="26"/>
                <w:szCs w:val="26"/>
              </w:rPr>
              <w:t xml:space="preserve">Referencias Bibliográficas · APA 7a Edición</w:t>
            </w:r>
          </w:p>
        </w:tc>
      </w:tr>
    </w:tbl>
    <w:p>
      <w:pPr>
        <w:spacing w:after="80" w:before="0"/>
      </w:pPr>
      <w:r>
        <w:rPr>
          <w:sz w:val="20"/>
          <w:szCs w:val="20"/>
        </w:rPr>
        <w:t xml:space="preserve"/>
      </w:r>
    </w:p>
    <w:p>
      <w:pPr>
        <w:pStyle w:val="Heading1"/>
        <w:pBdr>
          <w:bottom w:val="single" w:color="C9A84C" w:sz="8" w:space="4"/>
        </w:pBdr>
        <w:spacing w:after="200" w:before="480"/>
      </w:pPr>
      <w:r>
        <w:rPr>
          <w:rFonts w:ascii="Arial" w:cs="Arial" w:eastAsia="Arial" w:hAnsi="Arial"/>
          <w:b/>
          <w:bCs/>
          <w:color w:val="0D1726"/>
          <w:sz w:val="36"/>
          <w:szCs w:val="36"/>
        </w:rPr>
        <w:t xml:space="preserve">Referencias</w:t>
      </w:r>
    </w:p>
    <w:p>
      <w:pPr>
        <w:spacing w:after="80" w:before="40"/>
        <w:ind w:left="720" w:hanging="720"/>
        <w:jc w:val="both"/>
      </w:pPr>
      <w:r>
        <w:rPr>
          <w:rFonts w:ascii="Arial" w:cs="Arial" w:eastAsia="Arial" w:hAnsi="Arial"/>
          <w:color w:val="2C3E50"/>
          <w:sz w:val="20"/>
          <w:szCs w:val="20"/>
        </w:rPr>
        <w:t xml:space="preserve">Baker, R. S., &amp; Inventado, P. S. (2014). Educational data mining and learning analytics. En J. A. Larusson &amp; B. White (Eds.), Learning analytics: From research to practice (pp. 61–75). Springer. https://doi.org/10.1007/978-1-4614-3305-7_4</w:t>
      </w:r>
    </w:p>
    <w:p>
      <w:pPr>
        <w:spacing w:after="80" w:before="40"/>
        <w:ind w:left="720" w:hanging="720"/>
        <w:jc w:val="both"/>
      </w:pPr>
      <w:r>
        <w:rPr>
          <w:rFonts w:ascii="Arial" w:cs="Arial" w:eastAsia="Arial" w:hAnsi="Arial"/>
          <w:color w:val="2C3E50"/>
          <w:sz w:val="20"/>
          <w:szCs w:val="20"/>
        </w:rPr>
        <w:t xml:space="preserve">Barocas, S., Hardt, M., &amp; Narayanan, A. (2019). Fairness and machine learning. fairmlbook.org. http://www.fairmlbook.org</w:t>
      </w:r>
    </w:p>
    <w:p>
      <w:pPr>
        <w:spacing w:after="80" w:before="40"/>
        <w:ind w:left="720" w:hanging="720"/>
        <w:jc w:val="both"/>
      </w:pPr>
      <w:r>
        <w:rPr>
          <w:rFonts w:ascii="Arial" w:cs="Arial" w:eastAsia="Arial" w:hAnsi="Arial"/>
          <w:color w:val="2C3E50"/>
          <w:sz w:val="20"/>
          <w:szCs w:val="20"/>
        </w:rPr>
        <w:t xml:space="preserve">Breiman, L. (2001). Random forests. Machine Learning, 45(1), 5–32. https://doi.org/10.1023/A:1010933404324</w:t>
      </w:r>
    </w:p>
    <w:p>
      <w:pPr>
        <w:spacing w:after="80" w:before="40"/>
        <w:ind w:left="720" w:hanging="720"/>
        <w:jc w:val="both"/>
      </w:pPr>
      <w:r>
        <w:rPr>
          <w:rFonts w:ascii="Arial" w:cs="Arial" w:eastAsia="Arial" w:hAnsi="Arial"/>
          <w:color w:val="2C3E50"/>
          <w:sz w:val="20"/>
          <w:szCs w:val="20"/>
        </w:rPr>
        <w:t xml:space="preserve">Chen, T., &amp; Guestrin, C. (2016). XGBoost: A scalable tree boosting system. Proceedings of the 22nd ACM SIGKDD International Conference on Knowledge Discovery and Data Mining, 785–794. https://doi.org/10.1145/2939672.2939785</w:t>
      </w:r>
    </w:p>
    <w:p>
      <w:pPr>
        <w:spacing w:after="80" w:before="40"/>
        <w:ind w:left="720" w:hanging="720"/>
        <w:jc w:val="both"/>
      </w:pPr>
      <w:r>
        <w:rPr>
          <w:rFonts w:ascii="Arial" w:cs="Arial" w:eastAsia="Arial" w:hAnsi="Arial"/>
          <w:color w:val="2C3E50"/>
          <w:sz w:val="20"/>
          <w:szCs w:val="20"/>
        </w:rPr>
        <w:t xml:space="preserve">Clark, A., &amp; Chalmers, D. (1998). The extended mind. Analysis, 58(1), 7–19. https://doi.org/10.1093/analys/58.1.7</w:t>
      </w:r>
    </w:p>
    <w:p>
      <w:pPr>
        <w:spacing w:after="80" w:before="40"/>
        <w:ind w:left="720" w:hanging="720"/>
        <w:jc w:val="both"/>
      </w:pPr>
      <w:r>
        <w:rPr>
          <w:rFonts w:ascii="Arial" w:cs="Arial" w:eastAsia="Arial" w:hAnsi="Arial"/>
          <w:color w:val="2C3E50"/>
          <w:sz w:val="20"/>
          <w:szCs w:val="20"/>
        </w:rPr>
        <w:t xml:space="preserve">Davis, J., &amp; Goadrich, M. (2006). The relationship between precision-recall and ROC curves. Proceedings of the 23rd International Conference on Machine Learning, 233–240. https://doi.org/10.1145/1143844.1143874</w:t>
      </w:r>
    </w:p>
    <w:p>
      <w:pPr>
        <w:spacing w:after="80" w:before="40"/>
        <w:ind w:left="720" w:hanging="720"/>
        <w:jc w:val="both"/>
      </w:pPr>
      <w:r>
        <w:rPr>
          <w:rFonts w:ascii="Arial" w:cs="Arial" w:eastAsia="Arial" w:hAnsi="Arial"/>
          <w:color w:val="2C3E50"/>
          <w:sz w:val="20"/>
          <w:szCs w:val="20"/>
        </w:rPr>
        <w:t xml:space="preserve">Domingos, P. (2012). A few useful things to know about machine learning. Communications of the ACM, 55(10), 78–87. https://doi.org/10.1145/2347736.2347755</w:t>
      </w:r>
    </w:p>
    <w:p>
      <w:pPr>
        <w:spacing w:after="80" w:before="40"/>
        <w:ind w:left="720" w:hanging="720"/>
        <w:jc w:val="both"/>
      </w:pPr>
      <w:r>
        <w:rPr>
          <w:rFonts w:ascii="Arial" w:cs="Arial" w:eastAsia="Arial" w:hAnsi="Arial"/>
          <w:color w:val="2C3E50"/>
          <w:sz w:val="20"/>
          <w:szCs w:val="20"/>
        </w:rPr>
        <w:t xml:space="preserve">Engeström, Y. (1987). Learning by expanding: An activity-theoretical approach to developmental research. Orienta-Konsultit.</w:t>
      </w:r>
    </w:p>
    <w:p>
      <w:pPr>
        <w:spacing w:after="80" w:before="40"/>
        <w:ind w:left="720" w:hanging="720"/>
        <w:jc w:val="both"/>
      </w:pPr>
      <w:r>
        <w:rPr>
          <w:rFonts w:ascii="Arial" w:cs="Arial" w:eastAsia="Arial" w:hAnsi="Arial"/>
          <w:color w:val="2C3E50"/>
          <w:sz w:val="20"/>
          <w:szCs w:val="20"/>
        </w:rPr>
        <w:t xml:space="preserve">Estrada-Molina, O., &amp; Fuentes-Cancell, D. R. (2023). Predicción del abandono estudiantil mediante técnicas de machine learning: Una revisión sistemática. Pixel-Bit. Revista de Medios y Educación, 67, 109–131. https://doi.org/10.12795/pixelbit.96305</w:t>
      </w:r>
    </w:p>
    <w:p>
      <w:pPr>
        <w:spacing w:after="80" w:before="40"/>
        <w:ind w:left="720" w:hanging="720"/>
        <w:jc w:val="both"/>
      </w:pPr>
      <w:r>
        <w:rPr>
          <w:rFonts w:ascii="Arial" w:cs="Arial" w:eastAsia="Arial" w:hAnsi="Arial"/>
          <w:color w:val="2C3E50"/>
          <w:sz w:val="20"/>
          <w:szCs w:val="20"/>
        </w:rPr>
        <w:t xml:space="preserve">Fawcett, T. (2006). An introduction to ROC analysis. Pattern Recognition Letters, 27(8), 861–874. https://doi.org/10.1016/j.patrec.2005.10.010</w:t>
      </w:r>
    </w:p>
    <w:p>
      <w:pPr>
        <w:spacing w:after="80" w:before="40"/>
        <w:ind w:left="720" w:hanging="720"/>
        <w:jc w:val="both"/>
      </w:pPr>
      <w:r>
        <w:rPr>
          <w:rFonts w:ascii="Arial" w:cs="Arial" w:eastAsia="Arial" w:hAnsi="Arial"/>
          <w:color w:val="2C3E50"/>
          <w:sz w:val="20"/>
          <w:szCs w:val="20"/>
        </w:rPr>
        <w:t xml:space="preserve">Friedman, J. H. (2001). Greedy function approximation: A gradient boosting machine. The Annals of Statistics, 29(5), 1189–1232. https://doi.org/10.1214/aos/1013203451</w:t>
      </w:r>
    </w:p>
    <w:p>
      <w:pPr>
        <w:spacing w:after="80" w:before="40"/>
        <w:ind w:left="720" w:hanging="720"/>
        <w:jc w:val="both"/>
      </w:pPr>
      <w:r>
        <w:rPr>
          <w:rFonts w:ascii="Arial" w:cs="Arial" w:eastAsia="Arial" w:hAnsi="Arial"/>
          <w:color w:val="2C3E50"/>
          <w:sz w:val="20"/>
          <w:szCs w:val="20"/>
        </w:rPr>
        <w:t xml:space="preserve">Hastie, T., Tibshirani, R., &amp; Friedman, J. (2009). The elements of statistical learning: Data mining, inference, and prediction (2a ed.). Springer. https://doi.org/10.1007/978-0-387-84858-7</w:t>
      </w:r>
    </w:p>
    <w:p>
      <w:pPr>
        <w:spacing w:after="80" w:before="40"/>
        <w:ind w:left="720" w:hanging="720"/>
        <w:jc w:val="both"/>
      </w:pPr>
      <w:r>
        <w:rPr>
          <w:rFonts w:ascii="Arial" w:cs="Arial" w:eastAsia="Arial" w:hAnsi="Arial"/>
          <w:color w:val="2C3E50"/>
          <w:sz w:val="20"/>
          <w:szCs w:val="20"/>
        </w:rPr>
        <w:t xml:space="preserve">Helal, S., Li, J., Liu, L., Ebrahimie, E., Dawson, S., Murray, D. J., &amp; Long, Q. (2018). Predicting academic performance by considering student heterogeneity. Knowledge-Based Systems, 161, 134–146. https://doi.org/10.1016/j.knosys.2018.07.042</w:t>
      </w:r>
    </w:p>
    <w:p>
      <w:pPr>
        <w:spacing w:after="80" w:before="40"/>
        <w:ind w:left="720" w:hanging="720"/>
        <w:jc w:val="both"/>
      </w:pPr>
      <w:r>
        <w:rPr>
          <w:rFonts w:ascii="Arial" w:cs="Arial" w:eastAsia="Arial" w:hAnsi="Arial"/>
          <w:color w:val="2C3E50"/>
          <w:sz w:val="20"/>
          <w:szCs w:val="20"/>
        </w:rPr>
        <w:t xml:space="preserve">Hochreiter, S., &amp; Schmidhuber, J. (1997). Long short-term memory. Neural Computation, 9(8), 1735–1780. https://doi.org/10.1162/neco.1997.9.8.1735</w:t>
      </w:r>
    </w:p>
    <w:p>
      <w:pPr>
        <w:spacing w:after="80" w:before="40"/>
        <w:ind w:left="720" w:hanging="720"/>
        <w:jc w:val="both"/>
      </w:pPr>
      <w:r>
        <w:rPr>
          <w:rFonts w:ascii="Arial" w:cs="Arial" w:eastAsia="Arial" w:hAnsi="Arial"/>
          <w:color w:val="2C3E50"/>
          <w:sz w:val="20"/>
          <w:szCs w:val="20"/>
        </w:rPr>
        <w:t xml:space="preserve">Ishwaran, H., &amp; Kogalur, U. B. (2007). Random survival forests for R. R News, 7(2), 25–31.</w:t>
      </w:r>
    </w:p>
    <w:p>
      <w:pPr>
        <w:spacing w:after="80" w:before="40"/>
        <w:ind w:left="720" w:hanging="720"/>
        <w:jc w:val="both"/>
      </w:pPr>
      <w:r>
        <w:rPr>
          <w:rFonts w:ascii="Arial" w:cs="Arial" w:eastAsia="Arial" w:hAnsi="Arial"/>
          <w:color w:val="2C3E50"/>
          <w:sz w:val="20"/>
          <w:szCs w:val="20"/>
        </w:rPr>
        <w:t xml:space="preserve">Labarthe, H., Brossard, M., Bouchet, F., Frontera, M., Yus, R., &amp; Caballé, S. (2018). A student model to favor longitudinal analysis in learning analytics. Proceedings of the 8th International Conference on Learning Analytics &amp; Knowledge, 1–10. https://doi.org/10.1145/3170358.3170393</w:t>
      </w:r>
    </w:p>
    <w:p>
      <w:pPr>
        <w:spacing w:after="80" w:before="40"/>
        <w:ind w:left="720" w:hanging="720"/>
        <w:jc w:val="both"/>
      </w:pPr>
      <w:r>
        <w:rPr>
          <w:rFonts w:ascii="Arial" w:cs="Arial" w:eastAsia="Arial" w:hAnsi="Arial"/>
          <w:color w:val="2C3E50"/>
          <w:sz w:val="20"/>
          <w:szCs w:val="20"/>
        </w:rPr>
        <w:t xml:space="preserve">LeCun, Y., Bengio, Y., &amp; Hinton, G. (2015). Deep learning. Nature, 521(7553), 436–444. https://doi.org/10.1038/nature14539</w:t>
      </w:r>
    </w:p>
    <w:p>
      <w:pPr>
        <w:spacing w:after="80" w:before="40"/>
        <w:ind w:left="720" w:hanging="720"/>
        <w:jc w:val="both"/>
      </w:pPr>
      <w:r>
        <w:rPr>
          <w:rFonts w:ascii="Arial" w:cs="Arial" w:eastAsia="Arial" w:hAnsi="Arial"/>
          <w:color w:val="2C3E50"/>
          <w:sz w:val="20"/>
          <w:szCs w:val="20"/>
        </w:rPr>
        <w:t xml:space="preserve">Lundberg, S. M., &amp; Lee, S.-I. (2017). A unified approach to interpreting model predictions. Advances in Neural Information Processing Systems, 30, 4765–4774.</w:t>
      </w:r>
    </w:p>
    <w:p>
      <w:pPr>
        <w:spacing w:after="80" w:before="40"/>
        <w:ind w:left="720" w:hanging="720"/>
        <w:jc w:val="both"/>
      </w:pPr>
      <w:r>
        <w:rPr>
          <w:rFonts w:ascii="Arial" w:cs="Arial" w:eastAsia="Arial" w:hAnsi="Arial"/>
          <w:color w:val="2C3E50"/>
          <w:sz w:val="20"/>
          <w:szCs w:val="20"/>
        </w:rPr>
        <w:t xml:space="preserve">McKenney, S., &amp; Reeves, T. C. (2018). Conducting educational design research (2a ed.). Routledge. https://doi.org/10.4324/9781315105642</w:t>
      </w:r>
    </w:p>
    <w:p>
      <w:pPr>
        <w:spacing w:after="80" w:before="40"/>
        <w:ind w:left="720" w:hanging="720"/>
        <w:jc w:val="both"/>
      </w:pPr>
      <w:r>
        <w:rPr>
          <w:rFonts w:ascii="Arial" w:cs="Arial" w:eastAsia="Arial" w:hAnsi="Arial"/>
          <w:color w:val="2C3E50"/>
          <w:sz w:val="20"/>
          <w:szCs w:val="20"/>
        </w:rPr>
        <w:t xml:space="preserve">Niculescu-Mizil, A., &amp; Caruana, R. (2005). Predicting good probabilities with supervised learning. Proceedings of the 22nd International Conference on Machine Learning, 625–632.</w:t>
      </w:r>
    </w:p>
    <w:p>
      <w:pPr>
        <w:spacing w:after="80" w:before="40"/>
        <w:ind w:left="720" w:hanging="720"/>
        <w:jc w:val="both"/>
      </w:pPr>
      <w:r>
        <w:rPr>
          <w:rFonts w:ascii="Arial" w:cs="Arial" w:eastAsia="Arial" w:hAnsi="Arial"/>
          <w:color w:val="2C3E50"/>
          <w:sz w:val="20"/>
          <w:szCs w:val="20"/>
        </w:rPr>
        <w:t xml:space="preserve">Nunnally, J. C., &amp; Bernstein, I. H. (1994). Psychometric theory (3a ed.). McGraw-Hill.</w:t>
      </w:r>
    </w:p>
    <w:p>
      <w:pPr>
        <w:spacing w:after="80" w:before="40"/>
        <w:ind w:left="720" w:hanging="720"/>
        <w:jc w:val="both"/>
      </w:pPr>
      <w:r>
        <w:rPr>
          <w:rFonts w:ascii="Arial" w:cs="Arial" w:eastAsia="Arial" w:hAnsi="Arial"/>
          <w:color w:val="2C3E50"/>
          <w:sz w:val="20"/>
          <w:szCs w:val="20"/>
        </w:rPr>
        <w:t xml:space="preserve">Opitz, D., &amp; Maclin, R. (1999). Popular ensemble methods: An empirical study. Journal of Artificial Intelligence Research, 11, 169–198. https://doi.org/10.1613/jair.614</w:t>
      </w:r>
    </w:p>
    <w:p>
      <w:pPr>
        <w:spacing w:after="80" w:before="40"/>
        <w:ind w:left="720" w:hanging="720"/>
        <w:jc w:val="both"/>
      </w:pPr>
      <w:r>
        <w:rPr>
          <w:rFonts w:ascii="Arial" w:cs="Arial" w:eastAsia="Arial" w:hAnsi="Arial"/>
          <w:color w:val="2C3E50"/>
          <w:sz w:val="20"/>
          <w:szCs w:val="20"/>
        </w:rPr>
        <w:t xml:space="preserve">Parisi, G. I., Kemker, R., Part, J. L., Kanan, C., &amp; Wermter, S. (2019). Continual lifelong learning with neural networks: A review. Neural Networks, 113, 54–71. https://doi.org/10.1016/j.neunet.2019.01.012</w:t>
      </w:r>
    </w:p>
    <w:p>
      <w:pPr>
        <w:spacing w:after="80" w:before="40"/>
        <w:ind w:left="720" w:hanging="720"/>
        <w:jc w:val="both"/>
      </w:pPr>
      <w:r>
        <w:rPr>
          <w:rFonts w:ascii="Arial" w:cs="Arial" w:eastAsia="Arial" w:hAnsi="Arial"/>
          <w:color w:val="2C3E50"/>
          <w:sz w:val="20"/>
          <w:szCs w:val="20"/>
        </w:rPr>
        <w:t xml:space="preserve">Pascarella, E. T., &amp; Terenzini, P. T. (2005). How college affects students: A third decade of research (Vol. 2). Jossey-Bass.</w:t>
      </w:r>
    </w:p>
    <w:p>
      <w:pPr>
        <w:spacing w:after="80" w:before="40"/>
        <w:ind w:left="720" w:hanging="720"/>
        <w:jc w:val="both"/>
      </w:pPr>
      <w:r>
        <w:rPr>
          <w:rFonts w:ascii="Arial" w:cs="Arial" w:eastAsia="Arial" w:hAnsi="Arial"/>
          <w:color w:val="2C3E50"/>
          <w:sz w:val="20"/>
          <w:szCs w:val="20"/>
        </w:rPr>
        <w:t xml:space="preserve">Provost, F., &amp; Fawcett, T. (2013). Data science for business. O'Reilly Media.</w:t>
      </w:r>
    </w:p>
    <w:p>
      <w:pPr>
        <w:spacing w:after="80" w:before="40"/>
        <w:ind w:left="720" w:hanging="720"/>
        <w:jc w:val="both"/>
      </w:pPr>
      <w:r>
        <w:rPr>
          <w:rFonts w:ascii="Arial" w:cs="Arial" w:eastAsia="Arial" w:hAnsi="Arial"/>
          <w:color w:val="2C3E50"/>
          <w:sz w:val="20"/>
          <w:szCs w:val="20"/>
        </w:rPr>
        <w:t xml:space="preserve">Saarela, M., &amp; Yener, B. (2020). Predictive student modelling in educational data mining. Wiley Interdisciplinary Reviews: Data Mining and Knowledge Discovery, 10(5), e1374. https://doi.org/10.1002/widm.1374</w:t>
      </w:r>
    </w:p>
    <w:p>
      <w:pPr>
        <w:spacing w:after="80" w:before="40"/>
        <w:ind w:left="720" w:hanging="720"/>
        <w:jc w:val="both"/>
      </w:pPr>
      <w:r>
        <w:rPr>
          <w:rFonts w:ascii="Arial" w:cs="Arial" w:eastAsia="Arial" w:hAnsi="Arial"/>
          <w:color w:val="2C3E50"/>
          <w:sz w:val="20"/>
          <w:szCs w:val="20"/>
        </w:rPr>
        <w:t xml:space="preserve">Srivastava, N., Hinton, G., Krizhevsky, A., Sutskever, I., &amp; Salakhutdinov, R. (2014). Dropout: A simple way to prevent neural networks from overfitting. Journal of Machine Learning Research, 15(1), 1929–1958.</w:t>
      </w:r>
    </w:p>
    <w:p>
      <w:pPr>
        <w:spacing w:after="80" w:before="40"/>
        <w:ind w:left="720" w:hanging="720"/>
        <w:jc w:val="both"/>
      </w:pPr>
      <w:r>
        <w:rPr>
          <w:rFonts w:ascii="Arial" w:cs="Arial" w:eastAsia="Arial" w:hAnsi="Arial"/>
          <w:color w:val="2C3E50"/>
          <w:sz w:val="20"/>
          <w:szCs w:val="20"/>
        </w:rPr>
        <w:t xml:space="preserve">Tinto, V. (1987). Leaving college: Rethinking the causes and cures of student attrition. University of Chicago Press.</w:t>
      </w:r>
    </w:p>
    <w:p>
      <w:pPr>
        <w:spacing w:after="80" w:before="40"/>
        <w:ind w:left="720" w:hanging="720"/>
        <w:jc w:val="both"/>
      </w:pPr>
      <w:r>
        <w:rPr>
          <w:rFonts w:ascii="Arial" w:cs="Arial" w:eastAsia="Arial" w:hAnsi="Arial"/>
          <w:color w:val="2C3E50"/>
          <w:sz w:val="20"/>
          <w:szCs w:val="20"/>
        </w:rPr>
        <w:t xml:space="preserve">Wolpert, D. H. (1992). Stacked generalization. Neural Networks, 5(2), 241–259. https://doi.org/10.1016/S0893-6080(05)80023-1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718096"/>
        <w:sz w:val="17"/>
        <w:szCs w:val="17"/>
      </w:rPr>
      <w:t xml:space="preserve">Luis Pardo · Doctorado en Tecnología Educativa · UAQ | Lumina Labstech</w:t>
    </w:r>
    <w:r>
      <w:rPr>
        <w:sz w:val="17"/>
        <w:szCs w:val="17"/>
      </w:rPr>
      <w:t xml:space="preserve">	</w:t>
    </w:r>
    <w:r>
      <w:rPr>
        <w:rFonts w:ascii="Arial" w:cs="Arial" w:eastAsia="Arial" w:hAnsi="Arial"/>
        <w:color w:val="718096"/>
        <w:sz w:val="17"/>
        <w:szCs w:val="17"/>
      </w:rPr>
      <w:t xml:space="preserve">Pág. </w:t>
    </w:r>
    <w:r>
      <w:rPr>
        <w:rFonts w:ascii="Arial" w:cs="Arial" w:eastAsia="Arial" w:hAnsi="Arial"/>
        <w:color w:val="71809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color w:val="718096"/>
        <w:sz w:val="18"/>
        <w:szCs w:val="18"/>
      </w:rPr>
      <w:t xml:space="preserve">Resumen Ejecutivo ML — Primera Iteración del Modelo Predictivo de Deserción Escolar</w:t>
    </w:r>
    <w:r>
      <w:rPr>
        <w:sz w:val="18"/>
        <w:szCs w:val="18"/>
      </w:rPr>
      <w:t xml:space="preserve">	</w:t>
    </w:r>
    <w:r>
      <w:rPr>
        <w:rFonts w:ascii="Arial" w:cs="Arial" w:eastAsia="Arial" w:hAnsi="Arial"/>
        <w:color w:val="718096"/>
        <w:sz w:val="18"/>
        <w:szCs w:val="18"/>
      </w:rPr>
      <w:t xml:space="preserve">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726"/>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A6D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2026-04-29T03:45:21.081Z</dcterms:created>
  <dcterms:modified xsi:type="dcterms:W3CDTF">2026-04-29T03:45:21.082Z</dcterms:modified>
</cp:coreProperties>
</file>

<file path=docProps/custom.xml><?xml version="1.0" encoding="utf-8"?>
<Properties xmlns="http://schemas.openxmlformats.org/officeDocument/2006/custom-properties" xmlns:vt="http://schemas.openxmlformats.org/officeDocument/2006/docPropsVTypes"/>
</file>