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jc w:val="center"/>
      </w:pPr>
      <w:r>
        <w:rPr>
          <w:rFonts w:ascii="Times New Roman" w:cs="Times New Roman" w:eastAsia="Times New Roman" w:hAnsi="Times New Roman"/>
          <w:b/>
          <w:bCs/>
          <w:sz w:val="28"/>
          <w:szCs w:val="28"/>
        </w:rPr>
        <w:t xml:space="preserve">De la caja negra a la mediación pedagógica: inteligencia artificial explicable para la detección temprana de riesgo de abandono escolar en educación superior</w:t>
      </w:r>
    </w:p>
    <w:p>
      <w:pPr>
        <w:spacing w:after="80" w:line="280"/>
        <w:jc w:val="center"/>
      </w:pPr>
      <w:r>
        <w:rPr>
          <w:rFonts w:ascii="Times New Roman" w:cs="Times New Roman" w:eastAsia="Times New Roman" w:hAnsi="Times New Roman"/>
          <w:i/>
          <w:iCs/>
          <w:sz w:val="22"/>
          <w:szCs w:val="22"/>
        </w:rPr>
        <w:t xml:space="preserve">Luis Francisco Pardo Pera</w:t>
      </w:r>
    </w:p>
    <w:p>
      <w:pPr>
        <w:spacing w:after="320" w:line="280"/>
        <w:jc w:val="center"/>
      </w:pPr>
      <w:r>
        <w:rPr>
          <w:rFonts w:ascii="Times New Roman" w:cs="Times New Roman" w:eastAsia="Times New Roman" w:hAnsi="Times New Roman"/>
          <w:i/>
          <w:iCs/>
          <w:sz w:val="22"/>
          <w:szCs w:val="22"/>
        </w:rPr>
        <w:t xml:space="preserve">Doctorado en Tecnología Educativa — Universidad Autónoma de Querétaro</w:t>
      </w:r>
    </w:p>
    <w:p>
      <w:pPr>
        <w:pBdr>
          <w:bottom w:val="single" w:color="1A6B5C" w:sz="4" w:space="1"/>
        </w:pBdr>
        <w:spacing w:after="200"/>
      </w:pPr>
      <w:r>
        <w:t xml:space="preserve"/>
      </w:r>
    </w:p>
    <w:p>
      <w:pPr>
        <w:spacing w:after="120" w:before="240" w:line="360"/>
        <w:jc w:val="left"/>
      </w:pPr>
      <w:r>
        <w:rPr>
          <w:rFonts w:ascii="Times New Roman" w:cs="Times New Roman" w:eastAsia="Times New Roman" w:hAnsi="Times New Roman"/>
          <w:b/>
          <w:bCs/>
          <w:sz w:val="24"/>
          <w:szCs w:val="24"/>
        </w:rPr>
        <w:t xml:space="preserve">Resumen</w:t>
      </w:r>
    </w:p>
    <w:p>
      <w:pPr>
        <w:spacing w:after="160" w:line="360"/>
        <w:jc w:val="both"/>
      </w:pPr>
      <w:r>
        <w:rPr>
          <w:rFonts w:ascii="Times New Roman" w:cs="Times New Roman" w:eastAsia="Times New Roman" w:hAnsi="Times New Roman"/>
          <w:sz w:val="24"/>
          <w:szCs w:val="24"/>
        </w:rPr>
        <w:t xml:space="preserve">El abandono escolar en México afecta al 30.9% de los estudiantes de educación media superior, lo que representa aproximadamente 994,000 trayectorias interrumpidas cada ciclo. Los sistemas de predicción existentes privilegian variables académicas y socioeconómicas, dejando sistemáticamente fuera las dimensiones psicoemocionales que la evidencia clínica y pedagógica identifica como determinantes críticos del riesgo.</w:t>
      </w:r>
    </w:p>
    <w:p>
      <w:pPr>
        <w:spacing w:after="160" w:line="360"/>
        <w:jc w:val="both"/>
      </w:pPr>
      <w:r>
        <w:rPr>
          <w:rFonts w:ascii="Times New Roman" w:cs="Times New Roman" w:eastAsia="Times New Roman" w:hAnsi="Times New Roman"/>
          <w:sz w:val="24"/>
          <w:szCs w:val="24"/>
        </w:rPr>
        <w:t xml:space="preserve">Esta ponencia presenta el diseño y evaluación preliminar del Sistema Atenea AI: un sistema instrumental psicotécnico (SIP) que integra un modelo de ensamble por apilamiento (stacking ensemble) —Random Forest, XGBoost y Gradient Boosting en capa base, con una red neuronal feedforward como meta-aprendiz— con un instrumento psicoemocional de 165 ítems distribuidos en seis dimensiones: bienestar emocional, autopercepción académica, motivación, resiliencia, relaciones interpersonales y afiliación institucional.</w:t>
      </w:r>
    </w:p>
    <w:p>
      <w:pPr>
        <w:spacing w:after="160" w:line="360"/>
        <w:jc w:val="both"/>
      </w:pPr>
      <w:r>
        <w:rPr>
          <w:rFonts w:ascii="Times New Roman" w:cs="Times New Roman" w:eastAsia="Times New Roman" w:hAnsi="Times New Roman"/>
          <w:sz w:val="24"/>
          <w:szCs w:val="24"/>
        </w:rPr>
        <w:t xml:space="preserve">El argumento central de la ponencia es metodológico y epistemológico: la opacidad algorítmica (black box problem) es éticamente inadmisible en contextos educativos donde las predicciones de riesgo afectan directamente las trayectorias de sujetos vulnerables. En respuesta, el sistema implementa una arquitectura de inteligencia artificial explicable (XAI) mediante valores SHAP (SHapley Additive exPlanations, Lundberg &amp; Lee, 2017) en dos niveles: en los modelos base y en el meta-aprendiz. Esta estrategia de Stacked SHAP Explanation produce, para cada estudiante, una ficha de intervención que identifica los tres a cinco factores de mayor riesgo y los factores protectores activos, en lenguaje comprensible para orientadores y tutores.</w:t>
      </w:r>
    </w:p>
    <w:p>
      <w:pPr>
        <w:spacing w:after="80" w:before="160"/>
      </w:pPr>
      <w:r>
        <w:t xml:space="preserve"/>
      </w:r>
    </w:p>
    <w:tbl>
      <w:tblPr>
        <w:tblW w:type="dxa" w:w="8270"/>
        <w:tblBorders>
          <w:top w:val="single" w:color="auto" w:sz="4"/>
          <w:left w:val="single" w:color="auto" w:sz="4"/>
          <w:bottom w:val="single" w:color="auto" w:sz="4"/>
          <w:right w:val="single" w:color="auto" w:sz="4"/>
          <w:insideH w:val="single" w:color="auto" w:sz="4"/>
          <w:insideV w:val="single" w:color="auto" w:sz="4"/>
        </w:tblBorders>
      </w:tblPr>
      <w:tblGrid>
        <w:gridCol w:w="8270"/>
      </w:tblGrid>
      <w:tr>
        <w:tc>
          <w:tcPr>
            <w:tcW w:type="dxa" w:w="8270"/>
            <w:tcBorders>
              <w:top w:val="none" w:color="FFFFFF" w:sz="0"/>
              <w:left w:val="single" w:color="1A6B5C" w:sz="18"/>
              <w:bottom w:val="none" w:color="FFFFFF" w:sz="0"/>
              <w:right w:val="none" w:color="FFFFFF" w:sz="0"/>
            </w:tcBorders>
            <w:shd w:fill="F0F5F3" w:val="clear"/>
            <w:tcMar>
              <w:top w:type="dxa" w:w="120"/>
              <w:left w:type="dxa" w:w="200"/>
              <w:bottom w:type="dxa" w:w="120"/>
              <w:right w:type="dxa" w:w="120"/>
            </w:tcMar>
          </w:tcPr>
          <w:p>
            <w:pPr>
              <w:spacing w:after="0" w:line="320"/>
              <w:jc w:val="both"/>
            </w:pPr>
            <w:r>
              <w:rPr>
                <w:rFonts w:ascii="Times New Roman" w:cs="Times New Roman" w:eastAsia="Times New Roman" w:hAnsi="Times New Roman"/>
                <w:i/>
                <w:iCs/>
                <w:color w:val="333333"/>
                <w:sz w:val="22"/>
                <w:szCs w:val="22"/>
              </w:rPr>
              <w:t xml:space="preserve">“Mientras el minado de datos extrae patrones predictivos, el SIP produce significado pedagógico accionable, convirtiendo la predicción en mediación epistémica.” — data mining / data meaning (Pardo Pera, 2026)</w:t>
            </w:r>
          </w:p>
        </w:tc>
      </w:tr>
    </w:tbl>
    <w:p>
      <w:pPr>
        <w:spacing w:after="160" w:before="80"/>
      </w:pPr>
      <w:r>
        <w:t xml:space="preserve"/>
      </w:r>
    </w:p>
    <w:p>
      <w:pPr>
        <w:spacing w:after="160" w:line="360"/>
        <w:jc w:val="both"/>
      </w:pPr>
      <w:r>
        <w:rPr>
          <w:rFonts w:ascii="Times New Roman" w:cs="Times New Roman" w:eastAsia="Times New Roman" w:hAnsi="Times New Roman"/>
          <w:sz w:val="24"/>
          <w:szCs w:val="24"/>
        </w:rPr>
        <w:t xml:space="preserve">La propuesta introduce la distinción data mining / data meaning (Pardo Pera, 2026) como contribución conceptual original: la predicción estadística se convierte en instrumento de mediación pedagógica coherente con los marcos de potentia de Braidotti (2019) y los principios de explicabilidad e IA responsable de la UNESCO (2021).</w:t>
      </w:r>
    </w:p>
    <w:p>
      <w:pPr>
        <w:spacing w:after="160" w:line="360"/>
        <w:jc w:val="both"/>
      </w:pPr>
      <w:r>
        <w:rPr>
          <w:rFonts w:ascii="Times New Roman" w:cs="Times New Roman" w:eastAsia="Times New Roman" w:hAnsi="Times New Roman"/>
          <w:sz w:val="24"/>
          <w:szCs w:val="24"/>
        </w:rPr>
        <w:t xml:space="preserve">Los valores SHAP permiten además auditar sesgos estructurales: si el modelo atribuye mayor riesgo sistemáticamente a estudiantes de estratos socioeconómicos bajos o géneros específicos, el análisis de distribución de Shapley values por subgrupo revela la asimetría. Este mecanismo de detección de sesgo algorítmico responde al marco DELICATE (Drachsler &amp; Greller, 2016) y a los criterios de justicia de Khosravi et al. (2022), consolidando la responsabilidad ética como requisito arquitectónico del sistema.</w:t>
      </w:r>
    </w:p>
    <w:p>
      <w:pPr>
        <w:spacing w:after="160" w:line="360"/>
        <w:jc w:val="both"/>
      </w:pPr>
      <w:r>
        <w:rPr>
          <w:rFonts w:ascii="Times New Roman" w:cs="Times New Roman" w:eastAsia="Times New Roman" w:hAnsi="Times New Roman"/>
          <w:sz w:val="24"/>
          <w:szCs w:val="24"/>
        </w:rPr>
        <w:t xml:space="preserve">La Ficha Sistema Atenea AI opera como instrumento de mediación en el sentido de Rabardel y Béguin (2000): transforma una predicción numérica en un esquema de acción orientada, sostenida por la génesis instrumental del orientador que aprende a interpretar y actuar sobre la información. Esta dinámica convierte al modelo de ML en un SIP genuino: un sistema que amplía las capacidades cognitivas del actor educativo sin sustituir su juicio profesional.</w:t>
      </w:r>
    </w:p>
    <w:p>
      <w:pPr>
        <w:spacing w:after="160" w:line="360"/>
        <w:jc w:val="both"/>
      </w:pPr>
      <w:r>
        <w:rPr>
          <w:rFonts w:ascii="Times New Roman" w:cs="Times New Roman" w:eastAsia="Times New Roman" w:hAnsi="Times New Roman"/>
          <w:sz w:val="24"/>
          <w:szCs w:val="24"/>
        </w:rPr>
        <w:t xml:space="preserve">La ponencia concluye que la XAI no es un refinamiento técnico sino una exigencia ética: hace posible que la predicción del fracaso académico devenga instrumento de empoderamiento pedagógico en lugar de profecía autocumplida.</w:t>
      </w:r>
    </w:p>
    <w:p>
      <w:pPr>
        <w:spacing w:after="120" w:before="240" w:line="360"/>
        <w:jc w:val="left"/>
      </w:pPr>
      <w:r>
        <w:rPr>
          <w:rFonts w:ascii="Times New Roman" w:cs="Times New Roman" w:eastAsia="Times New Roman" w:hAnsi="Times New Roman"/>
          <w:b/>
          <w:bCs/>
          <w:sz w:val="24"/>
          <w:szCs w:val="24"/>
        </w:rPr>
        <w:t xml:space="preserve">Palabras clave</w:t>
      </w:r>
    </w:p>
    <w:p>
      <w:pPr>
        <w:spacing w:after="160" w:line="320"/>
        <w:jc w:val="both"/>
      </w:pPr>
      <w:r>
        <w:rPr>
          <w:rFonts w:ascii="Times New Roman" w:cs="Times New Roman" w:eastAsia="Times New Roman" w:hAnsi="Times New Roman"/>
          <w:i/>
          <w:iCs/>
          <w:sz w:val="24"/>
          <w:szCs w:val="24"/>
        </w:rPr>
        <w:t xml:space="preserve">Inteligencia artificial explicable</w:t>
      </w:r>
      <w:r>
        <w:rPr>
          <w:rFonts w:ascii="Times New Roman" w:cs="Times New Roman" w:eastAsia="Times New Roman" w:hAnsi="Times New Roman"/>
          <w:sz w:val="24"/>
          <w:szCs w:val="24"/>
        </w:rPr>
        <w:t xml:space="preserve"> · SHAP · deserción escolar · variables psicoemocionales · stacking ensemble · mediación epistémica · ética algorítmica · sistema instrumental psicotécnico</w:t>
      </w:r>
    </w:p>
    <w:p>
      <w:pPr>
        <w:spacing w:after="120" w:before="240" w:line="360"/>
        <w:jc w:val="left"/>
      </w:pPr>
      <w:r>
        <w:rPr>
          <w:rFonts w:ascii="Times New Roman" w:cs="Times New Roman" w:eastAsia="Times New Roman" w:hAnsi="Times New Roman"/>
          <w:b/>
          <w:bCs/>
          <w:sz w:val="24"/>
          <w:szCs w:val="24"/>
        </w:rPr>
        <w:t xml:space="preserve">Eje temático</w:t>
      </w:r>
    </w:p>
    <w:p>
      <w:pPr>
        <w:spacing w:after="160" w:line="360"/>
        <w:jc w:val="both"/>
      </w:pPr>
      <w:r>
        <w:rPr>
          <w:rFonts w:ascii="Times New Roman" w:cs="Times New Roman" w:eastAsia="Times New Roman" w:hAnsi="Times New Roman"/>
          <w:sz w:val="24"/>
          <w:szCs w:val="24"/>
        </w:rPr>
        <w:t xml:space="preserve">Tecnología, sociedad y humanidades / Ética de la inteligencia artificial / Ciencias cognitivas e interdisciplina</w:t>
      </w:r>
    </w:p>
    <w:p>
      <w:pPr>
        <w:pBdr>
          <w:bottom w:val="single" w:color="1A6B5C" w:sz="4" w:space="1"/>
        </w:pBdr>
        <w:spacing w:after="200" w:before="240"/>
      </w:pPr>
      <w:r>
        <w:t xml:space="preserve"/>
      </w:r>
    </w:p>
    <w:p>
      <w:pPr>
        <w:spacing w:after="120" w:before="240" w:line="360"/>
        <w:jc w:val="left"/>
      </w:pPr>
      <w:r>
        <w:rPr>
          <w:rFonts w:ascii="Times New Roman" w:cs="Times New Roman" w:eastAsia="Times New Roman" w:hAnsi="Times New Roman"/>
          <w:b/>
          <w:bCs/>
          <w:sz w:val="24"/>
          <w:szCs w:val="24"/>
        </w:rPr>
        <w:t xml:space="preserve">Referencias</w:t>
      </w:r>
    </w:p>
    <w:p>
      <w:pPr>
        <w:spacing w:after="80" w:line="240"/>
        <w:ind w:left="720" w:hanging="720"/>
        <w:jc w:val="both"/>
      </w:pPr>
      <w:r>
        <w:rPr>
          <w:rFonts w:ascii="Times New Roman" w:cs="Times New Roman" w:eastAsia="Times New Roman" w:hAnsi="Times New Roman"/>
          <w:sz w:val="20"/>
          <w:szCs w:val="20"/>
        </w:rPr>
        <w:t xml:space="preserve">Braidotti, R. (2019). Posthuman Knowledge. Polity Press.</w:t>
      </w:r>
    </w:p>
    <w:p>
      <w:pPr>
        <w:spacing w:after="80" w:line="240"/>
        <w:ind w:left="720" w:hanging="720"/>
        <w:jc w:val="both"/>
      </w:pPr>
      <w:r>
        <w:rPr>
          <w:rFonts w:ascii="Times New Roman" w:cs="Times New Roman" w:eastAsia="Times New Roman" w:hAnsi="Times New Roman"/>
          <w:sz w:val="20"/>
          <w:szCs w:val="20"/>
        </w:rPr>
        <w:t xml:space="preserve">Breiman, L. (2001). Random forests. Machine Learning, 45(1), 5–32.</w:t>
      </w:r>
    </w:p>
    <w:p>
      <w:pPr>
        <w:spacing w:after="80" w:line="240"/>
        <w:ind w:left="720" w:hanging="720"/>
        <w:jc w:val="both"/>
      </w:pPr>
      <w:r>
        <w:rPr>
          <w:rFonts w:ascii="Times New Roman" w:cs="Times New Roman" w:eastAsia="Times New Roman" w:hAnsi="Times New Roman"/>
          <w:sz w:val="20"/>
          <w:szCs w:val="20"/>
        </w:rPr>
        <w:t xml:space="preserve">Chen, T., &amp; Guestrin, C. (2016). XGBoost: A scalable tree boosting system. Proceedings of the 22nd ACM SIGKDD, 785–794.</w:t>
      </w:r>
    </w:p>
    <w:p>
      <w:pPr>
        <w:spacing w:after="80" w:line="240"/>
        <w:ind w:left="720" w:hanging="720"/>
        <w:jc w:val="both"/>
      </w:pPr>
      <w:r>
        <w:rPr>
          <w:rFonts w:ascii="Times New Roman" w:cs="Times New Roman" w:eastAsia="Times New Roman" w:hAnsi="Times New Roman"/>
          <w:sz w:val="20"/>
          <w:szCs w:val="20"/>
        </w:rPr>
        <w:t xml:space="preserve">Drachsler, H., &amp; Greller, W. (2016). Privacy and analytics. Proceedings of LAK’16, 89–98.</w:t>
      </w:r>
    </w:p>
    <w:p>
      <w:pPr>
        <w:spacing w:after="80" w:line="240"/>
        <w:ind w:left="720" w:hanging="720"/>
        <w:jc w:val="both"/>
      </w:pPr>
      <w:r>
        <w:rPr>
          <w:rFonts w:ascii="Times New Roman" w:cs="Times New Roman" w:eastAsia="Times New Roman" w:hAnsi="Times New Roman"/>
          <w:sz w:val="20"/>
          <w:szCs w:val="20"/>
        </w:rPr>
        <w:t xml:space="preserve">Friedman, J. H. (2001). Greedy function approximation: A gradient boosting machine. Annals of Statistics, 29(5), 1189–1232.</w:t>
      </w:r>
    </w:p>
    <w:p>
      <w:pPr>
        <w:spacing w:after="80" w:line="240"/>
        <w:ind w:left="720" w:hanging="720"/>
        <w:jc w:val="both"/>
      </w:pPr>
      <w:r>
        <w:rPr>
          <w:rFonts w:ascii="Times New Roman" w:cs="Times New Roman" w:eastAsia="Times New Roman" w:hAnsi="Times New Roman"/>
          <w:sz w:val="20"/>
          <w:szCs w:val="20"/>
        </w:rPr>
        <w:t xml:space="preserve">Khosravi, H., et al. (2022). Explainable artificial intelligence in education. Computers and Education: Artificial Intelligence, 3, 100074.</w:t>
      </w:r>
    </w:p>
    <w:p>
      <w:pPr>
        <w:spacing w:after="80" w:line="240"/>
        <w:ind w:left="720" w:hanging="720"/>
        <w:jc w:val="both"/>
      </w:pPr>
      <w:r>
        <w:rPr>
          <w:rFonts w:ascii="Times New Roman" w:cs="Times New Roman" w:eastAsia="Times New Roman" w:hAnsi="Times New Roman"/>
          <w:sz w:val="20"/>
          <w:szCs w:val="20"/>
        </w:rPr>
        <w:t xml:space="preserve">Lundberg, S. M., &amp; Lee, S.-I. (2017). A unified approach to interpreting model predictions. NeurIPS, 30.</w:t>
      </w:r>
    </w:p>
    <w:p>
      <w:pPr>
        <w:spacing w:after="80" w:line="240"/>
        <w:ind w:left="720" w:hanging="720"/>
        <w:jc w:val="both"/>
      </w:pPr>
      <w:r>
        <w:rPr>
          <w:rFonts w:ascii="Times New Roman" w:cs="Times New Roman" w:eastAsia="Times New Roman" w:hAnsi="Times New Roman"/>
          <w:sz w:val="20"/>
          <w:szCs w:val="20"/>
        </w:rPr>
        <w:t xml:space="preserve">Lundberg, S. M., et al. (2020). From local explanations to global understanding with explainable AI for trees. Nature Machine Intelligence, 2(1), 56–67.</w:t>
      </w:r>
    </w:p>
    <w:p>
      <w:pPr>
        <w:spacing w:after="80" w:line="240"/>
        <w:ind w:left="720" w:hanging="720"/>
        <w:jc w:val="both"/>
      </w:pPr>
      <w:r>
        <w:rPr>
          <w:rFonts w:ascii="Times New Roman" w:cs="Times New Roman" w:eastAsia="Times New Roman" w:hAnsi="Times New Roman"/>
          <w:sz w:val="20"/>
          <w:szCs w:val="20"/>
        </w:rPr>
        <w:t xml:space="preserve">Rabardel, P., &amp; Béguin, P. (2005). Instrument mediated activity: From subject development to anthropocentric design. Theoretical Issues in Ergonomics Science, 6(5), 429–461.</w:t>
      </w:r>
    </w:p>
    <w:p>
      <w:pPr>
        <w:spacing w:after="80" w:line="240"/>
        <w:ind w:left="720" w:hanging="720"/>
        <w:jc w:val="both"/>
      </w:pPr>
      <w:r>
        <w:rPr>
          <w:rFonts w:ascii="Times New Roman" w:cs="Times New Roman" w:eastAsia="Times New Roman" w:hAnsi="Times New Roman"/>
          <w:sz w:val="20"/>
          <w:szCs w:val="20"/>
        </w:rPr>
        <w:t xml:space="preserve">UNESCO. (2021). Recommendation on the ethics of artificial intelligence. UNESCO.</w:t>
      </w:r>
    </w:p>
    <w:p>
      <w:pPr>
        <w:spacing w:after="80" w:line="240"/>
        <w:ind w:left="720" w:hanging="720"/>
        <w:jc w:val="both"/>
      </w:pPr>
      <w:r>
        <w:rPr>
          <w:rFonts w:ascii="Times New Roman" w:cs="Times New Roman" w:eastAsia="Times New Roman" w:hAnsi="Times New Roman"/>
          <w:sz w:val="20"/>
          <w:szCs w:val="20"/>
        </w:rPr>
        <w:t xml:space="preserve">Wolpert, D. H. (1992). Stacked generalization. Neural Networks, 5(2), 241–259.</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2026-05-30T18:05:16.578Z</dcterms:created>
  <dcterms:modified xsi:type="dcterms:W3CDTF">2026-05-30T18:05:16.578Z</dcterms:modified>
</cp:coreProperties>
</file>

<file path=docProps/custom.xml><?xml version="1.0" encoding="utf-8"?>
<Properties xmlns="http://schemas.openxmlformats.org/officeDocument/2006/custom-properties" xmlns:vt="http://schemas.openxmlformats.org/officeDocument/2006/docPropsVTypes"/>
</file>