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Times New Roman" w:cs="Times New Roman" w:eastAsia="Times New Roman" w:hAnsi="Times New Roman"/>
          <w:b/>
          <w:bCs/>
          <w:sz w:val="32"/>
          <w:szCs w:val="32"/>
        </w:rPr>
        <w:t xml:space="preserve">CARTOGRAFÍA CONCEPTUAL — SIP</w:t>
      </w:r>
    </w:p>
    <w:p>
      <w:pPr>
        <w:spacing w:after="120" w:before="0"/>
        <w:jc w:val="center"/>
      </w:pPr>
      <w:r>
        <w:rPr>
          <w:rFonts w:ascii="Times New Roman" w:cs="Times New Roman" w:eastAsia="Times New Roman" w:hAnsi="Times New Roman"/>
          <w:i/>
          <w:iCs/>
          <w:color w:val="666666"/>
          <w:sz w:val="22"/>
          <w:szCs w:val="22"/>
        </w:rPr>
        <w:t xml:space="preserve">Borrador de trabajo — Actualización 1 · Abril 2026</w:t>
      </w:r>
    </w:p>
    <w:p>
      <w:pPr>
        <w:spacing w:after="120" w:before="0"/>
        <w:jc w:val="center"/>
      </w:pPr>
      <w:r>
        <w:rPr>
          <w:rFonts w:ascii="Times New Roman" w:cs="Times New Roman" w:eastAsia="Times New Roman" w:hAnsi="Times New Roman"/>
          <w:i/>
          <w:iCs/>
          <w:sz w:val="22"/>
          <w:szCs w:val="22"/>
        </w:rPr>
        <w:t xml:space="preserve">Luis Pardo · DTE-UAQ</w:t>
      </w:r>
    </w:p>
    <w:p>
      <w:pPr>
        <w:spacing w:after="480" w:before="0"/>
        <w:jc w:val="center"/>
      </w:pPr>
      <w:r>
        <w:rPr>
          <w:rFonts w:ascii="Times New Roman" w:cs="Times New Roman" w:eastAsia="Times New Roman" w:hAnsi="Times New Roman"/>
          <w:color w:val="666666"/>
          <w:sz w:val="20"/>
          <w:szCs w:val="20"/>
        </w:rPr>
        <w:t xml:space="preserve">Secciones trabajadas: Introducción · Método (Fases) · Caracterización · Diferenciación · Clasificación · Vinculación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jc w:val="both"/>
            </w:pPr>
            <w:r>
              <w:rPr>
                <w:rFonts w:ascii="Times New Roman" w:cs="Times New Roman" w:eastAsia="Times New Roman" w:hAnsi="Times New Roman"/>
                <w:i/>
                <w:iCs/>
                <w:color w:val="5D4037"/>
                <w:sz w:val="20"/>
                <w:szCs w:val="20"/>
              </w:rPr>
              <w:t xml:space="preserve">NOTA DE TRABAJO: Este documento contiene los borradores revisados de las secciones indicadas. Los párrafos en amarillo en el original fueron reescritos o completados. Los conteos (n) en la sección de Fases son placeholders — sustitúyelos con los valores reales de tu búsqueda en Research Rabbit, Scopus y Web of Science.</w:t>
            </w:r>
          </w:p>
        </w:tc>
      </w:tr>
    </w:tbl>
    <w:p>
      <w:pPr>
        <w:spacing w:after="0" w:before="0"/>
      </w:pPr>
      <w:r>
        <w:t xml:space="preserve"/>
      </w:r>
    </w:p>
    <w:p>
      <w:pPr>
        <w:pStyle w:val="Heading1"/>
        <w:spacing w:after="240" w:before="480"/>
      </w:pPr>
      <w:r>
        <w:rPr>
          <w:rFonts w:ascii="Times New Roman" w:cs="Times New Roman" w:eastAsia="Times New Roman" w:hAnsi="Times New Roman"/>
          <w:b/>
          <w:bCs/>
          <w:sz w:val="28"/>
          <w:szCs w:val="28"/>
        </w:rPr>
        <w:t xml:space="preserve">1. INTRODUCCIÓN</w:t>
      </w:r>
    </w:p>
    <w:p>
      <w:pPr>
        <w:spacing w:after="240" w:before="0" w:line="480" w:lineRule="auto"/>
        <w:ind w:firstLine="720"/>
        <w:jc w:val="both"/>
      </w:pPr>
      <w:r>
        <w:rPr>
          <w:rFonts w:ascii="Times New Roman" w:cs="Times New Roman" w:eastAsia="Times New Roman" w:hAnsi="Times New Roman"/>
          <w:sz w:val="24"/>
          <w:szCs w:val="24"/>
        </w:rPr>
        <w:t xml:space="preserve">La incorporación amplia y transversal de tecnología digital en la vida cotidiana ha reconfigurado la subjetividad humana, generando la necesidad de nuevas líneas de pensamiento que permitan no solo comprender los fenómenos sociodigitales, sino reconfigura rlos conscientemente en función de las necesidades humanas (Peters &amp; Jandrić, 2019). Desde el posthumanismo crítico, Braidotti (2019) conceptualiza estos fenómenos como procesos de distribución co-construida entre humanos y sistemas técnicos, cuestionando las concepciones que entienden la subjetividad como una entidad puramente individual e interna.</w:t>
      </w:r>
    </w:p>
    <w:p>
      <w:pPr>
        <w:spacing w:after="240" w:before="0" w:line="480" w:lineRule="auto"/>
        <w:ind w:firstLine="720"/>
        <w:jc w:val="both"/>
      </w:pPr>
      <w:r>
        <w:rPr>
          <w:rFonts w:ascii="Times New Roman" w:cs="Times New Roman" w:eastAsia="Times New Roman" w:hAnsi="Times New Roman"/>
          <w:sz w:val="24"/>
          <w:szCs w:val="24"/>
        </w:rPr>
        <w:t xml:space="preserve">La subjetividad, por lo tanto, no puede entenderse de manera unívoca como un proceso psicológico aislado, sino como una convergencia entre lo biológico (zoe), lo social organizado (bios) y lo tecnológico. La conciencia se distribuye a través de lo inmaterial (Braidotti, 2019), trascendiendo las barreras del pensamiento antropocéntrico que históricamente ha excluido y limitado las prácticas científicas y educativas, y dando paso a un sujeto cuya conciencia se configura en relación con los sistemas que habita (Kaptelinin, 1996).</w:t>
      </w:r>
    </w:p>
    <w:p>
      <w:pPr>
        <w:spacing w:after="240" w:before="0" w:line="480" w:lineRule="auto"/>
        <w:ind w:firstLine="720"/>
        <w:jc w:val="both"/>
      </w:pPr>
      <w:r>
        <w:rPr>
          <w:rFonts w:ascii="Times New Roman" w:cs="Times New Roman" w:eastAsia="Times New Roman" w:hAnsi="Times New Roman"/>
          <w:sz w:val="24"/>
          <w:szCs w:val="24"/>
        </w:rPr>
        <w:t xml:space="preserve">Dentro de este paradigma, los sistemas tecnológicos no son entidades neutras, sino instrumentos de co-construcción activa de procesos cognitivos como la toma de decisiones, la percepción y la anticipación (Vygotsky, 1930/1985; Kaptelinin, 1996). La barrera entre lo psicológico y lo tecnológico se difumina en prácticas como la clínica, la investigación y la educación (Béguin &amp; Rabardel, 2000; Bedny et al., 2000), constituyendo este entrelazamiento el rasgo estructural de los entornos educativos contemporáneos mediados por tecnologías emergentes.</w:t>
      </w:r>
    </w:p>
    <w:p>
      <w:pPr>
        <w:spacing w:after="240" w:before="0" w:line="480" w:lineRule="auto"/>
        <w:ind w:firstLine="720"/>
        <w:jc w:val="both"/>
      </w:pPr>
      <w:r>
        <w:rPr>
          <w:rFonts w:ascii="Times New Roman" w:cs="Times New Roman" w:eastAsia="Times New Roman" w:hAnsi="Times New Roman"/>
          <w:sz w:val="24"/>
          <w:szCs w:val="24"/>
        </w:rPr>
        <w:t xml:space="preserve">No obstante, la educación postdigital —en tanto campo teórico y metodológico— no ha logrado generar categorías de análisis capaces de nombrar y describir cómo estos sistemas participan activamente en los procesos educativos (Escudero-Nahón, 2021). Este vacío conceptual limita la comprensión, el diseño, la evaluación y la transferencia de conocimiento entre disciplinas y profesionales de la educación (Kaptelinin &amp; Kuutti, 1999), evidenciando la urgencia de marcos que articulen de manera rigurosa la relación entre los algoritmos de aprendizaje automático y los procesos psicológicos que median.</w:t>
      </w:r>
    </w:p>
    <w:p>
      <w:pPr>
        <w:spacing w:after="240" w:before="0" w:line="480" w:lineRule="auto"/>
        <w:ind w:firstLine="720"/>
        <w:jc w:val="both"/>
      </w:pPr>
      <w:r>
        <w:rPr>
          <w:rFonts w:ascii="Times New Roman" w:cs="Times New Roman" w:eastAsia="Times New Roman" w:hAnsi="Times New Roman"/>
          <w:sz w:val="24"/>
          <w:szCs w:val="24"/>
        </w:rPr>
        <w:t xml:space="preserve">Ante esta limitación epistemológica, la tecnología educativa puede contribuir al cierre de estos vacíos mediante el desarrollo de conceptos transdisciplinares que integren marcos teóricos complementarios. Desde la Teoría de la Actividad (Vygotsky, 1930/1985; Kaptelinin, 1996) y la epistemología del posthumanismo crítico (Braidotti, 2019), es posible conceptualizar los sistemas de aprendizaje automático no como herramientas externas al sujeto, sino como entidades psicológicas y sociales que interceptan iterativamente la actividad cognitiva y técnica. En esta dirección, la presente investigación propone el concepto de Sistema Instrumental Psicotécnico (SIP) como categoría de análisis transdisciplinar para describir y estudiar dicha intersección en contextos de educación postdigital.</w:t>
      </w:r>
    </w:p>
    <w:p>
      <w:pPr>
        <w:spacing w:after="240" w:before="0" w:line="480" w:lineRule="auto"/>
        <w:ind w:firstLine="720"/>
        <w:jc w:val="both"/>
      </w:pPr>
      <w:r>
        <w:rPr>
          <w:rFonts w:ascii="Times New Roman" w:cs="Times New Roman" w:eastAsia="Times New Roman" w:hAnsi="Times New Roman"/>
          <w:sz w:val="24"/>
          <w:szCs w:val="24"/>
        </w:rPr>
        <w:t xml:space="preserve">El objetivo de este artículo es proponer y cartografiar el concepto de Sistema Instrumental Psicotécnico (SIP) como categoría de análisis para la educación postdigital, a través del método de cartografía conceptual (Tobón, 2012; Escudero-Nahón, 2021) en tanto investigación documental cualitativa. Para ello, se siguieron ocho ejes de análisis propuestos por Tobón (2004): noción, categorización, caracterización, diferenciación, clasificación, vinculación, metodología y ejemplificación. El análisis se organizó en cuatro fases, iniciando con un estudio documental de bibliografía especializada, la definición de criterios de inclusión y exclusión, el análisis transversal mediante los ocho ejes y, finalmente, la interpretación y proposición conceptual.</w:t>
      </w:r>
    </w:p>
    <w:p>
      <w:pPr>
        <w:spacing w:after="0" w:before="0"/>
      </w:pPr>
      <w:r>
        <w:t xml:space="preserve"/>
      </w:r>
    </w:p>
    <w:p>
      <w:pPr>
        <w:pStyle w:val="Heading1"/>
        <w:spacing w:after="240" w:before="480"/>
      </w:pPr>
      <w:r>
        <w:rPr>
          <w:rFonts w:ascii="Times New Roman" w:cs="Times New Roman" w:eastAsia="Times New Roman" w:hAnsi="Times New Roman"/>
          <w:b/>
          <w:bCs/>
          <w:sz w:val="28"/>
          <w:szCs w:val="28"/>
        </w:rPr>
        <w:t xml:space="preserve">2. MÉTODO</w:t>
      </w:r>
    </w:p>
    <w:p>
      <w:pPr>
        <w:spacing w:after="240" w:before="0" w:line="480" w:lineRule="auto"/>
        <w:ind w:firstLine="720"/>
        <w:jc w:val="both"/>
      </w:pPr>
      <w:r>
        <w:rPr>
          <w:rFonts w:ascii="Times New Roman" w:cs="Times New Roman" w:eastAsia="Times New Roman" w:hAnsi="Times New Roman"/>
          <w:sz w:val="24"/>
          <w:szCs w:val="24"/>
        </w:rPr>
        <w:t xml:space="preserve">El método empleado en esta investigación es la cartografía conceptual, estrategia desarrollada por Tobón (2012) desde el pensamiento complejo, cuyo propósito es la formación y evaluación sistemática de conceptos y teorías a través del análisis documental cualitativo. Esta estrategia ha demostrado su pertinencia como método de investigación transdisciplinar, al permitir articular perspectivas teóricas diversas en torno a un concepto emergente sin reducirlo a ninguna de ellas (Escudero-Nahón, 2021; Ortega-Carbajal et al., 2015). Su estructura en ocho ejes de análisis ofrece una unidad metodológica que orienta tanto la búsqueda documental como la proposición conceptual resultante.</w:t>
      </w:r>
    </w:p>
    <w:p>
      <w:pPr>
        <w:pStyle w:val="Heading2"/>
        <w:spacing w:after="120" w:before="360"/>
      </w:pPr>
      <w:r>
        <w:rPr>
          <w:rFonts w:ascii="Times New Roman" w:cs="Times New Roman" w:eastAsia="Times New Roman" w:hAnsi="Times New Roman"/>
          <w:b/>
          <w:bCs/>
          <w:i/>
          <w:iCs/>
          <w:sz w:val="26"/>
          <w:szCs w:val="26"/>
        </w:rPr>
        <w:t xml:space="preserve">Fase 1. Búsqueda documental sistemática</w:t>
      </w:r>
    </w:p>
    <w:p>
      <w:pPr>
        <w:spacing w:after="240" w:before="0" w:line="480" w:lineRule="auto"/>
        <w:ind w:firstLine="720"/>
        <w:jc w:val="both"/>
      </w:pPr>
      <w:r>
        <w:rPr>
          <w:rFonts w:ascii="Times New Roman" w:cs="Times New Roman" w:eastAsia="Times New Roman" w:hAnsi="Times New Roman"/>
          <w:sz w:val="24"/>
          <w:szCs w:val="24"/>
        </w:rPr>
        <w:t xml:space="preserve">La primera fase consistió en la búsqueda sistemática de documentos en bases de datos especializadas, siguiendo los lineamientos del protocolo PRISMA 2020 (Page et al., 2021). Se consultaron las bases de datos Research Rabbit, Scopus y Web of Science, utilizando una estrategia de búsqueda booleana con los términos: 'psychotechnical', 'instrument-mediated activity', 'activity theory', 'educational technology', 'dropout prediction' y 'posthumanism education', combinados con los operadores AND y OR. El rango temporal de la búsqueda abarcó publicaciones del período 2000–2026, incluyendo artículos de investigación empírica y teórica, capítulos de libros y libros especializados, en idioma inglés y español. La búsqueda arrojó un total inicial de (n = x) registros.</w:t>
      </w:r>
    </w:p>
    <w:p>
      <w:pPr>
        <w:pStyle w:val="Heading2"/>
        <w:spacing w:after="120" w:before="360"/>
      </w:pPr>
      <w:r>
        <w:rPr>
          <w:rFonts w:ascii="Times New Roman" w:cs="Times New Roman" w:eastAsia="Times New Roman" w:hAnsi="Times New Roman"/>
          <w:b/>
          <w:bCs/>
          <w:i/>
          <w:iCs/>
          <w:sz w:val="26"/>
          <w:szCs w:val="26"/>
        </w:rPr>
        <w:t xml:space="preserve">Fase 2. Criterios de inclusión y exclusión</w:t>
      </w:r>
    </w:p>
    <w:p>
      <w:pPr>
        <w:spacing w:after="240" w:before="0" w:line="480" w:lineRule="auto"/>
        <w:ind w:firstLine="720"/>
        <w:jc w:val="both"/>
      </w:pPr>
      <w:r>
        <w:rPr>
          <w:rFonts w:ascii="Times New Roman" w:cs="Times New Roman" w:eastAsia="Times New Roman" w:hAnsi="Times New Roman"/>
          <w:sz w:val="24"/>
          <w:szCs w:val="24"/>
        </w:rPr>
        <w:t xml:space="preserve">En la segunda fase se establecieron los criterios de inclusión y exclusión que orientaron la selección del corpus documental definitivo. Se incluyeron publicaciones con enfoque explícito en psicología educativa, tecnología educativa o aprendizaje automático aplicado a la educación, publicadas entre 2000 y 2026, en acceso abierto o con disponibilidad institucional, y con relevancia directa para la conceptualización del SIP. Se excluyeron revisiones de libros, comentarios editoriales, trabajos sin datos verificables y publicaciones que abordaran el concepto de manera periférica. La tabla 1 sintetiza los criterios aplicados.</w:t>
      </w:r>
    </w:p>
    <w:p>
      <w:pPr>
        <w:spacing w:after="0" w:before="0"/>
      </w:pPr>
      <w:r>
        <w:t xml:space="preserve"/>
      </w:r>
    </w:p>
    <w:p>
      <w:pPr>
        <w:spacing w:after="80" w:before="120"/>
        <w:jc w:val="center"/>
      </w:pPr>
      <w:r>
        <w:rPr>
          <w:rFonts w:ascii="Times New Roman" w:cs="Times New Roman" w:eastAsia="Times New Roman" w:hAnsi="Times New Roman"/>
          <w:i/>
          <w:iCs/>
          <w:sz w:val="22"/>
          <w:szCs w:val="22"/>
        </w:rPr>
        <w:t xml:space="preserve">Tabla 1</w:t>
      </w:r>
    </w:p>
    <w:p>
      <w:pPr>
        <w:spacing w:after="160" w:before="0"/>
        <w:jc w:val="center"/>
      </w:pPr>
      <w:r>
        <w:rPr>
          <w:rFonts w:ascii="Times New Roman" w:cs="Times New Roman" w:eastAsia="Times New Roman" w:hAnsi="Times New Roman"/>
          <w:b/>
          <w:bCs/>
          <w:sz w:val="22"/>
          <w:szCs w:val="22"/>
        </w:rPr>
        <w:t xml:space="preserve">Criterios de inclusión y exclusión del corpus documental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Times New Roman" w:cs="Times New Roman" w:eastAsia="Times New Roman" w:hAnsi="Times New Roman"/>
                <w:b/>
                <w:bCs/>
                <w:color w:val="FFFFFF"/>
                <w:sz w:val="22"/>
                <w:szCs w:val="22"/>
              </w:rPr>
              <w:t xml:space="preserve">Criterios de inclusión</w:t>
            </w:r>
          </w:p>
        </w:tc>
        <w:tc>
          <w:tcPr>
            <w:tcW w:type="dxa" w:w="4513"/>
            <w:tcBorders>
              <w:top w:val="single" w:color="CCCCCC" w:sz="1"/>
              <w:left w:val="single" w:color="CCCCCC" w:sz="1"/>
              <w:bottom w:val="single" w:color="CCCCCC" w:sz="1"/>
              <w:right w:val="single" w:color="CCCCCC" w:sz="1"/>
            </w:tcBorders>
            <w:shd w:fill="B71C1C" w:val="clear"/>
            <w:tcMar>
              <w:top w:type="dxa" w:w="100"/>
              <w:left w:type="dxa" w:w="150"/>
              <w:bottom w:type="dxa" w:w="100"/>
              <w:right w:type="dxa" w:w="150"/>
            </w:tcMar>
          </w:tcPr>
          <w:p>
            <w:r>
              <w:rPr>
                <w:rFonts w:ascii="Times New Roman" w:cs="Times New Roman" w:eastAsia="Times New Roman" w:hAnsi="Times New Roman"/>
                <w:b/>
                <w:bCs/>
                <w:color w:val="FFFFFF"/>
                <w:sz w:val="22"/>
                <w:szCs w:val="22"/>
              </w:rPr>
              <w:t xml:space="preserve">Criterios de exclusión</w:t>
            </w:r>
          </w:p>
        </w:tc>
      </w:tr>
      <w:tr>
        <w:tc>
          <w:tcPr>
            <w:tcW w:type="dxa" w:w="4513"/>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Publicaciones entre 2000 y 2026</w:t>
            </w:r>
          </w:p>
        </w:tc>
        <w:tc>
          <w:tcPr>
            <w:tcW w:type="dxa" w:w="4513"/>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Revisiones de libros y comentarios editoriales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Idioma inglés o español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Publicaciones sin datos verificables o sin metodología explícita</w:t>
            </w:r>
          </w:p>
        </w:tc>
      </w:tr>
      <w:tr>
        <w:tc>
          <w:tcPr>
            <w:tcW w:type="dxa" w:w="4513"/>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Acceso abierto o disponibilidad institucional</w:t>
            </w:r>
          </w:p>
        </w:tc>
        <w:tc>
          <w:tcPr>
            <w:tcW w:type="dxa" w:w="4513"/>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Abordaje periférico o incidental del concepto central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Enfoque en psicología educativa, tecnología educativa o aprendizaje automático aplicado a la educación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Documentos fuera del rango temporal 2000-2026</w:t>
            </w:r>
          </w:p>
        </w:tc>
      </w:tr>
      <w:tr>
        <w:tc>
          <w:tcPr>
            <w:tcW w:type="dxa" w:w="4513"/>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Relevancia directa para la conceptualización del SIP</w:t>
            </w:r>
          </w:p>
        </w:tc>
        <w:tc>
          <w:tcPr>
            <w:tcW w:type="dxa" w:w="4513"/>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Idioma distinto al inglés o al español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Tipo documental: artículo de investigación, capítulo de libro o libro especializado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b w:val="false"/>
                <w:bCs w:val="false"/>
                <w:i w:val="false"/>
                <w:iCs w:val="false"/>
                <w:sz w:val="20"/>
                <w:szCs w:val="20"/>
              </w:rPr>
              <w:t xml:space="preserve">✗  Preprints sin revisión por pares</w:t>
            </w:r>
          </w:p>
        </w:tc>
      </w:tr>
    </w:tbl>
    <w:p>
      <w:pPr>
        <w:spacing w:after="240" w:before="80"/>
        <w:jc w:val="left"/>
      </w:pPr>
      <w:r>
        <w:rPr>
          <w:rFonts w:ascii="Times New Roman" w:cs="Times New Roman" w:eastAsia="Times New Roman" w:hAnsi="Times New Roman"/>
          <w:i/>
          <w:iCs/>
          <w:sz w:val="20"/>
          <w:szCs w:val="20"/>
        </w:rPr>
        <w:t xml:space="preserve">Nota. Elaboración propia a partir de PRISMA 2020 (Page et al., 2021) y Tobón (2012).</w:t>
      </w:r>
    </w:p>
    <w:p>
      <w:pPr>
        <w:spacing w:after="240" w:before="0" w:line="480" w:lineRule="auto"/>
        <w:ind w:firstLine="720"/>
        <w:jc w:val="both"/>
      </w:pPr>
      <w:r>
        <w:rPr>
          <w:rFonts w:ascii="Times New Roman" w:cs="Times New Roman" w:eastAsia="Times New Roman" w:hAnsi="Times New Roman"/>
          <w:sz w:val="24"/>
          <w:szCs w:val="24"/>
        </w:rPr>
        <w:t xml:space="preserve">Tras la aplicación de los criterios anteriores, se eliminaron (n = x) registros duplicados y (n = x) que no cumplían los criterios de elegibilidad. El corpus final quedó conformado por (n = x) documentos: (n = x) artículos de investigación y (n = x) libros o capítulos de libros especializados. El diagrama de flujo de la selección documental se presenta en la Figura 1 (ver archivo HTML adjunto).</w:t>
      </w:r>
    </w:p>
    <w:p>
      <w:pPr>
        <w:pStyle w:val="Heading2"/>
        <w:spacing w:after="120" w:before="360"/>
      </w:pPr>
      <w:r>
        <w:rPr>
          <w:rFonts w:ascii="Times New Roman" w:cs="Times New Roman" w:eastAsia="Times New Roman" w:hAnsi="Times New Roman"/>
          <w:b/>
          <w:bCs/>
          <w:i/>
          <w:iCs/>
          <w:sz w:val="26"/>
          <w:szCs w:val="26"/>
        </w:rPr>
        <w:t xml:space="preserve">Fase 3. Análisis documental por los ocho ejes</w:t>
      </w:r>
    </w:p>
    <w:p>
      <w:pPr>
        <w:spacing w:after="240" w:before="0" w:line="480" w:lineRule="auto"/>
        <w:ind w:firstLine="720"/>
        <w:jc w:val="both"/>
      </w:pPr>
      <w:r>
        <w:rPr>
          <w:rFonts w:ascii="Times New Roman" w:cs="Times New Roman" w:eastAsia="Times New Roman" w:hAnsi="Times New Roman"/>
          <w:sz w:val="24"/>
          <w:szCs w:val="24"/>
        </w:rPr>
        <w:t xml:space="preserve">La tercera fase consistió en el análisis documental transversal mediante los ocho ejes de la cartografía conceptual: noción, categorización, caracterización, diferenciación, clasificación, vinculación, metodología y ejemplificación (Tobón, 2004/2012). Para cada eje se formuló una pregunta guía que orientó la síntesis de las contribuciones de los autores analizados, organizando las ideas en componentes conceptuales articulados. Este análisis opera de manera compleja e interrelacionada: los ejes no son compartimentos estancos, sino perspectivas complementarias sobre el mismo fenómeno conceptual (Tobón, 2012).</w:t>
      </w:r>
    </w:p>
    <w:p>
      <w:pPr>
        <w:pStyle w:val="Heading2"/>
        <w:spacing w:after="120" w:before="360"/>
      </w:pPr>
      <w:r>
        <w:rPr>
          <w:rFonts w:ascii="Times New Roman" w:cs="Times New Roman" w:eastAsia="Times New Roman" w:hAnsi="Times New Roman"/>
          <w:b/>
          <w:bCs/>
          <w:i/>
          <w:iCs/>
          <w:sz w:val="26"/>
          <w:szCs w:val="26"/>
        </w:rPr>
        <w:t xml:space="preserve">Fase 4. Interpretación y proposición conceptual</w:t>
      </w:r>
    </w:p>
    <w:p>
      <w:pPr>
        <w:spacing w:after="240" w:before="0" w:line="480" w:lineRule="auto"/>
        <w:ind w:firstLine="720"/>
        <w:jc w:val="both"/>
      </w:pPr>
      <w:r>
        <w:rPr>
          <w:rFonts w:ascii="Times New Roman" w:cs="Times New Roman" w:eastAsia="Times New Roman" w:hAnsi="Times New Roman"/>
          <w:sz w:val="24"/>
          <w:szCs w:val="24"/>
        </w:rPr>
        <w:t xml:space="preserve">En la cuarta y última fase se procedió a la interpretación integradora de los hallazgos de los ocho ejes, con el propósito de construir la proposición conceptual del SIP como categoría de análisis transdisciplinar. Esta fase implicó la identificación de los rasgos esenciales del concepto, sus relaciones con otros marcos teóricos y su posicionamiento dentro del campo de la educación postdigital (Escudero-Nahón, 2021). El resultado de esta interpretación se presenta en la sección de resultados.</w:t>
      </w:r>
    </w:p>
    <w:p>
      <w:pPr>
        <w:spacing w:after="0" w:before="0"/>
      </w:pPr>
      <w:r>
        <w:t xml:space="preserve"/>
      </w:r>
    </w:p>
    <w:p>
      <w:pPr>
        <w:pStyle w:val="Heading1"/>
        <w:spacing w:after="240" w:before="480"/>
      </w:pPr>
      <w:r>
        <w:rPr>
          <w:rFonts w:ascii="Times New Roman" w:cs="Times New Roman" w:eastAsia="Times New Roman" w:hAnsi="Times New Roman"/>
          <w:b/>
          <w:bCs/>
          <w:sz w:val="28"/>
          <w:szCs w:val="28"/>
        </w:rPr>
        <w:t xml:space="preserve">3. RESULTADOS</w:t>
      </w:r>
    </w:p>
    <w:p>
      <w:pPr>
        <w:spacing w:after="240" w:before="0" w:line="480" w:lineRule="auto"/>
        <w:ind w:firstLine="720"/>
        <w:jc w:val="both"/>
      </w:pPr>
      <w:r>
        <w:rPr>
          <w:rFonts w:ascii="Times New Roman" w:cs="Times New Roman" w:eastAsia="Times New Roman" w:hAnsi="Times New Roman"/>
          <w:sz w:val="24"/>
          <w:szCs w:val="24"/>
        </w:rPr>
        <w:t xml:space="preserve">Los resultados se organizan en torno a los ocho ejes de la cartografía conceptual. En esta primera actualización se desarrollan los ejes de caracterización, diferenciación, clasificación y vinculación, que corresponden a las fases de análisis donde se identificó mayor necesidad de desarrollo. Los ejes de noción y categorización se presentan en el borrador previo y serán integrados en la versión final. Los ejes de metodología y ejemplificación serán redactados por el autor.</w:t>
      </w:r>
    </w:p>
    <w:p>
      <w:pPr>
        <w:pStyle w:val="Heading2"/>
        <w:spacing w:after="120" w:before="360"/>
      </w:pPr>
      <w:r>
        <w:rPr>
          <w:rFonts w:ascii="Times New Roman" w:cs="Times New Roman" w:eastAsia="Times New Roman" w:hAnsi="Times New Roman"/>
          <w:b/>
          <w:bCs/>
          <w:i/>
          <w:iCs/>
          <w:sz w:val="26"/>
          <w:szCs w:val="26"/>
        </w:rPr>
        <w:t xml:space="preserve">Caracterización</w:t>
      </w:r>
    </w:p>
    <w:p>
      <w:pPr>
        <w:spacing w:after="240" w:before="0" w:line="480" w:lineRule="auto"/>
        <w:ind w:firstLine="720"/>
        <w:jc w:val="both"/>
      </w:pPr>
      <w:r>
        <w:rPr>
          <w:rFonts w:ascii="Times New Roman" w:cs="Times New Roman" w:eastAsia="Times New Roman" w:hAnsi="Times New Roman"/>
          <w:sz w:val="24"/>
          <w:szCs w:val="24"/>
        </w:rPr>
        <w:t xml:space="preserve">La caracterización del Sistema Instrumental Psicotécnico requiere identificar los elementos constitutivos que lo definen como categoría de análisis en la educación postdigital. A partir del análisis documental realizado, se identificaron cinco características esenciales que operan de manera articulada e interdependiente.</w:t>
      </w:r>
    </w:p>
    <w:p>
      <w:pPr>
        <w:spacing w:after="240" w:before="0" w:line="480" w:lineRule="auto"/>
        <w:ind w:firstLine="720"/>
        <w:jc w:val="both"/>
      </w:pPr>
      <w:r>
        <w:rPr>
          <w:rFonts w:ascii="Times New Roman" w:cs="Times New Roman" w:eastAsia="Times New Roman" w:hAnsi="Times New Roman"/>
          <w:sz w:val="24"/>
          <w:szCs w:val="24"/>
        </w:rPr>
        <w:t xml:space="preserve">La primera característica es que el SIP constituye una entidad compuesta, no reducible a ninguno de sus componentes por separado. Desde la perspectiva instrumental propuesta por Béguin y Rabardel (2000), el instrumento se constituye como la articulación de un artefacto —los componentes técnicos del sistema: el algoritmo, el modelo predictivo y la interfaz— y un esquema de utilización —el conjunto de acciones mentales que el sujeto organiza para operar con dicho artefacto—. El SIP, en consecuencia, no es el software ni el hardware en sí mismos, sino la entidad emergente de su co-constitución con la actividad del sujeto.</w:t>
      </w:r>
    </w:p>
    <w:p>
      <w:pPr>
        <w:spacing w:after="240" w:before="0" w:line="480" w:lineRule="auto"/>
        <w:ind w:firstLine="720"/>
        <w:jc w:val="both"/>
      </w:pPr>
      <w:r>
        <w:rPr>
          <w:rFonts w:ascii="Times New Roman" w:cs="Times New Roman" w:eastAsia="Times New Roman" w:hAnsi="Times New Roman"/>
          <w:sz w:val="24"/>
          <w:szCs w:val="24"/>
        </w:rPr>
        <w:t xml:space="preserve">La segunda característica es que el SIP es una entidad ontológicamente inacabada. El instrumento se construye en la interacción y no puede preexistir a ella. Béguin y Rabardel (2000) denominan este proceso génesis instrumental, señalando que el sujeto transforma el artefacto a sus fines (instrumentalización) y, simultáneamente, adapta sus esquemas al artefacto (instrumentación). Esta doble dinámica implica que el diseño de un SIP no concluye con su implementación tecnológica, sino que continúa a lo largo de toda la práctica educativa en iteraciones sucesivas.</w:t>
      </w:r>
    </w:p>
    <w:p>
      <w:pPr>
        <w:spacing w:after="240" w:before="0" w:line="480" w:lineRule="auto"/>
        <w:ind w:firstLine="720"/>
        <w:jc w:val="both"/>
      </w:pPr>
      <w:r>
        <w:rPr>
          <w:rFonts w:ascii="Times New Roman" w:cs="Times New Roman" w:eastAsia="Times New Roman" w:hAnsi="Times New Roman"/>
          <w:sz w:val="24"/>
          <w:szCs w:val="24"/>
        </w:rPr>
        <w:t xml:space="preserve">La tercera característica es el diseño antropocéntrico como principio rector. El eje del SIP no es lo que el sistema puede hacer técnicamente, sino cómo el humano actúa con el sistema (Béguin &amp; Rabardel, 2000). Este principio desplaza la pregunta central del diseño tecnológico: de la optimización algorítmica hacia la comprensión de la actividad del usuario, articulando la dimensión psicológica con la técnica en un mismo objeto de estudio. Así, el sujeto no se adapta al sistema, sino que el sistema se diseña en función de la actividad del sujeto.</w:t>
      </w:r>
    </w:p>
    <w:p>
      <w:pPr>
        <w:spacing w:after="240" w:before="0" w:line="480" w:lineRule="auto"/>
        <w:ind w:firstLine="720"/>
        <w:jc w:val="both"/>
      </w:pPr>
      <w:r>
        <w:rPr>
          <w:rFonts w:ascii="Times New Roman" w:cs="Times New Roman" w:eastAsia="Times New Roman" w:hAnsi="Times New Roman"/>
          <w:sz w:val="24"/>
          <w:szCs w:val="24"/>
        </w:rPr>
        <w:t xml:space="preserve">La cuarta característica refiere a la incorporación de los mecanismos de anticipación (feed-forward) y retroalimentación (feedback) como componentes funcionales fundamentales. Desde la Teoría de la Actividad, la orientación a metas moviliza componentes cognitivos, conductuales y motivacionales en un sistema integrado compuesto por unidades cognitivo-afectivas discretas que incluyen tanto componentes de anticipación orientados a metas como de retroalimentación (Bedny et al., 2000). Esta característica conecta el SIP con la dimensión regulatoria de la actividad humana: el sistema no solo produce resultados, sino que participa activamente en la anticipación de la acción educativa.</w:t>
      </w:r>
    </w:p>
    <w:p>
      <w:pPr>
        <w:spacing w:after="240" w:before="0" w:line="480" w:lineRule="auto"/>
        <w:ind w:firstLine="720"/>
        <w:jc w:val="both"/>
      </w:pPr>
      <w:r>
        <w:rPr>
          <w:rFonts w:ascii="Times New Roman" w:cs="Times New Roman" w:eastAsia="Times New Roman" w:hAnsi="Times New Roman"/>
          <w:sz w:val="24"/>
          <w:szCs w:val="24"/>
        </w:rPr>
        <w:t xml:space="preserve">La quinta característica es la mediación triple que el SIP ejerce sobre la actividad: pragmática, epistémica y heurística (Rabardel, 1995). La mediación pragmática refiere a la producción de la actividad —el sistema genera una acción—; la epistémica, a la visibilización del objeto de la actividad —el sistema hace visible lo que de otro modo permanecería opaco—; y la heurística, a la orientación y control de la actividad —el sistema orienta la acción hacia una dirección—. Esta triple función de mediación distingue al SIP de otras categorías de herramientas educativas digitales, al reconocerlo como participante activo en la configuración del conocimiento y la acción del sujeto.</w:t>
      </w:r>
    </w:p>
    <w:p>
      <w:pPr>
        <w:spacing w:after="0" w:before="0"/>
      </w:pPr>
      <w:r>
        <w:t xml:space="preserve"/>
      </w:r>
    </w:p>
    <w:p>
      <w:pPr>
        <w:pStyle w:val="Heading2"/>
        <w:spacing w:after="120" w:before="360"/>
      </w:pPr>
      <w:r>
        <w:rPr>
          <w:rFonts w:ascii="Times New Roman" w:cs="Times New Roman" w:eastAsia="Times New Roman" w:hAnsi="Times New Roman"/>
          <w:b/>
          <w:bCs/>
          <w:i/>
          <w:iCs/>
          <w:sz w:val="26"/>
          <w:szCs w:val="26"/>
        </w:rPr>
        <w:t xml:space="preserve">Diferenciación</w:t>
      </w:r>
    </w:p>
    <w:p>
      <w:pPr>
        <w:spacing w:after="240" w:before="0" w:line="480" w:lineRule="auto"/>
        <w:ind w:firstLine="720"/>
        <w:jc w:val="both"/>
      </w:pPr>
      <w:r>
        <w:rPr>
          <w:rFonts w:ascii="Times New Roman" w:cs="Times New Roman" w:eastAsia="Times New Roman" w:hAnsi="Times New Roman"/>
          <w:sz w:val="24"/>
          <w:szCs w:val="24"/>
        </w:rPr>
        <w:t xml:space="preserve">La delimitación conceptual del SIP requiere distinguirlo de nociones relacionadas con las que podría confundirse en la literatura especializada. Se identificaron cuatro diferencias conceptuales que permiten precisar el alcance y la especificidad del concepto propuesto.</w:t>
      </w:r>
    </w:p>
    <w:p>
      <w:pPr>
        <w:spacing w:after="240" w:before="0" w:line="480" w:lineRule="auto"/>
        <w:ind w:firstLine="720"/>
        <w:jc w:val="both"/>
      </w:pPr>
      <w:r>
        <w:rPr>
          <w:rFonts w:ascii="Times New Roman" w:cs="Times New Roman" w:eastAsia="Times New Roman" w:hAnsi="Times New Roman"/>
          <w:sz w:val="24"/>
          <w:szCs w:val="24"/>
        </w:rPr>
        <w:t xml:space="preserve">La primera distinción es respecto al artefacto tecnológico clásico. Desde la perspectiva de la ingeniería y el diseño convencional, un artefacto es un objeto fabricado con una función específica que puede existir independientemente de su usuario (Béguin &amp; Rabardel, 2000). El SIP, por el contrario, no puede existir sin el sujeto: requiere de un esquema de utilización que emerge de la actividad concreta del usuario. Esta diferencia no es meramente técnica, sino ontológica: mientras el artefacto es una entidad material, el SIP es una entidad psicológica y social co-constituida en la práctica.</w:t>
      </w:r>
    </w:p>
    <w:p>
      <w:pPr>
        <w:spacing w:after="240" w:before="0" w:line="480" w:lineRule="auto"/>
        <w:ind w:firstLine="720"/>
        <w:jc w:val="both"/>
      </w:pPr>
      <w:r>
        <w:rPr>
          <w:rFonts w:ascii="Times New Roman" w:cs="Times New Roman" w:eastAsia="Times New Roman" w:hAnsi="Times New Roman"/>
          <w:sz w:val="24"/>
          <w:szCs w:val="24"/>
        </w:rPr>
        <w:t xml:space="preserve">La segunda distinción es respecto a la herramienta educativa digital (TEL, Technology-Enhanced Learning). Las tecnologías de apoyo al aprendizaje parten de la premisa de que la tecnología asiste al proceso humano, manteniendo una relación instrumental unidireccional (Kaptelinin &amp; Kuutti, 1999). El SIP propone, en cambio, que el humano y el sistema se co-construyen mutuamente en la actividad: no existe una jerarquía funcional entre ambos, sino una dinámica de interacción recíproca que transforma tanto al sujeto como al sistema.</w:t>
      </w:r>
    </w:p>
    <w:p>
      <w:pPr>
        <w:spacing w:after="240" w:before="0" w:line="480" w:lineRule="auto"/>
        <w:ind w:firstLine="720"/>
        <w:jc w:val="both"/>
      </w:pPr>
      <w:r>
        <w:rPr>
          <w:rFonts w:ascii="Times New Roman" w:cs="Times New Roman" w:eastAsia="Times New Roman" w:hAnsi="Times New Roman"/>
          <w:sz w:val="24"/>
          <w:szCs w:val="24"/>
        </w:rPr>
        <w:t xml:space="preserve">La tercera distinción es respecto al sistema de aprendizaje automático simple. Un sistema de ML opera como artefacto que procesa datos y genera predicciones, pero permanece externo a la actividad psicológica del sujeto mientras no sea incorporado a su esquema de acción (Béguin &amp; Rabardel, 2000). El SIP se configura precisamente en el momento en que el sujeto incorpora ese artefacto a su esquema de actividad, convirtiendo el modelo predictivo en un instrumento de anticipación educativa. Esta transición de artefacto a instrumento es el proceso central que el concepto de SIP busca nombrar y estudiar.</w:t>
      </w:r>
    </w:p>
    <w:p>
      <w:pPr>
        <w:spacing w:after="240" w:before="0" w:line="480" w:lineRule="auto"/>
        <w:ind w:firstLine="720"/>
        <w:jc w:val="both"/>
      </w:pPr>
      <w:r>
        <w:rPr>
          <w:rFonts w:ascii="Times New Roman" w:cs="Times New Roman" w:eastAsia="Times New Roman" w:hAnsi="Times New Roman"/>
          <w:sz w:val="24"/>
          <w:szCs w:val="24"/>
        </w:rPr>
        <w:t xml:space="preserve">La cuarta distinción es respecto a la educación postdigital como campo de estudio. La educación postdigital ha identificado con precisión la fusión entre lo humano y lo tecnológico como fenómeno estructural del aprendizaje contemporáneo, pero carece de categorías de análisis para nombrarlo y estudiarlo de manera sistemática (Escudero-Nahón, 2021). El SIP propone exactamente esa categoría faltante: una unidad de análisis que permite describir, diseñar y evaluar los sistemas en los que la actividad psicológica y la técnica se interceptan de manera iterativa, sin reducir el fenómeno a ninguna de sus disciplinas de origen.</w:t>
      </w:r>
    </w:p>
    <w:p>
      <w:pPr>
        <w:spacing w:after="0" w:before="0"/>
      </w:pPr>
      <w:r>
        <w:t xml:space="preserve"/>
      </w:r>
    </w:p>
    <w:p>
      <w:pPr>
        <w:pStyle w:val="Heading2"/>
        <w:spacing w:after="120" w:before="360"/>
      </w:pPr>
      <w:r>
        <w:rPr>
          <w:rFonts w:ascii="Times New Roman" w:cs="Times New Roman" w:eastAsia="Times New Roman" w:hAnsi="Times New Roman"/>
          <w:b/>
          <w:bCs/>
          <w:i/>
          <w:iCs/>
          <w:sz w:val="26"/>
          <w:szCs w:val="26"/>
        </w:rPr>
        <w:t xml:space="preserve">Clasificación</w:t>
      </w:r>
    </w:p>
    <w:p>
      <w:pPr>
        <w:spacing w:after="240" w:before="0" w:line="480" w:lineRule="auto"/>
        <w:ind w:firstLine="720"/>
        <w:jc w:val="both"/>
      </w:pPr>
      <w:r>
        <w:rPr>
          <w:rFonts w:ascii="Times New Roman" w:cs="Times New Roman" w:eastAsia="Times New Roman" w:hAnsi="Times New Roman"/>
          <w:sz w:val="24"/>
          <w:szCs w:val="24"/>
        </w:rPr>
        <w:t xml:space="preserve">El Sistema Instrumental Psicotécnico se organiza a partir de dos componentes esenciales que articulan su estructura interna, y puede clasificarse según las dimensiones que emergen de la dinámica entre ambos. Esta clasificación no es taxonómica en sentido estricto, sino funcional: permite analizar el SIP en sus distintas manifestaciones sin fragmentar la unidad del concepto.</w:t>
      </w:r>
    </w:p>
    <w:p>
      <w:pPr>
        <w:spacing w:after="240" w:before="0" w:line="480" w:lineRule="auto"/>
        <w:ind w:firstLine="720"/>
        <w:jc w:val="both"/>
      </w:pPr>
      <w:r>
        <w:rPr>
          <w:rFonts w:ascii="Times New Roman" w:cs="Times New Roman" w:eastAsia="Times New Roman" w:hAnsi="Times New Roman"/>
          <w:sz w:val="24"/>
          <w:szCs w:val="24"/>
        </w:rPr>
        <w:t xml:space="preserve">El primer componente es el artefacto, que corresponde a la dimensión material y técnica del SIP. En el contexto de los sistemas educativos mediados por aprendizaje automático, el artefacto comprende el algoritmo, el modelo predictivo, la interfaz de usuario y los datos con los que opera el sistema. Este componente es condición necesaria pero no suficiente para la existencia del SIP: un modelo de ML sin apropiación instrumental por parte del sujeto permanece como artefacto sin convertirse en instrumento (Béguin &amp; Rabardel, 2000).</w:t>
      </w:r>
    </w:p>
    <w:p>
      <w:pPr>
        <w:spacing w:after="240" w:before="0" w:line="480" w:lineRule="auto"/>
        <w:ind w:firstLine="720"/>
        <w:jc w:val="both"/>
      </w:pPr>
      <w:r>
        <w:rPr>
          <w:rFonts w:ascii="Times New Roman" w:cs="Times New Roman" w:eastAsia="Times New Roman" w:hAnsi="Times New Roman"/>
          <w:sz w:val="24"/>
          <w:szCs w:val="24"/>
        </w:rPr>
        <w:t xml:space="preserve">El segundo componente es el esquema de utilización, que corresponde a la dimensión psicológica y social del SIP. El esquema de utilización es la estructura activa mediante la cual el sujeto organiza su acción con el artefacto; integra experiencias pasadas, reglas de uso y expectativas de resultado en una configuración dinámica y adaptativa (Rabardel, 1995). Este esquema posee una dimensión privada —ligada a la historia individual del sujeto— y una dimensión social —construida culturalmente y compartida en comunidades de práctica educativa—.</w:t>
      </w:r>
    </w:p>
    <w:p>
      <w:pPr>
        <w:spacing w:after="240" w:before="0" w:line="480" w:lineRule="auto"/>
        <w:ind w:firstLine="720"/>
        <w:jc w:val="both"/>
      </w:pPr>
      <w:r>
        <w:rPr>
          <w:rFonts w:ascii="Times New Roman" w:cs="Times New Roman" w:eastAsia="Times New Roman" w:hAnsi="Times New Roman"/>
          <w:sz w:val="24"/>
          <w:szCs w:val="24"/>
        </w:rPr>
        <w:t xml:space="preserve">A partir de la génesis instrumental, el SIP puede clasificarse según dos dimensiones de apropiación complementarias. La instrumentalización designa el proceso por el cual el sujeto adapta el artefacto a sus fines: personaliza, modifica o selecciona características del sistema en función de sus objetivos. La instrumentación designa el proceso inverso: la adaptación que el sujeto realiza de sus propios esquemas de acción en respuesta a las posibilidades y restricciones del artefacto (Béguin &amp; Rabardel, 2000). En el SIP, ambas dimensiones operan simultáneamente y de manera recursiva, generando una espiral de desarrollo que transforma tanto al sujeto como al sistema.</w:t>
      </w:r>
    </w:p>
    <w:p>
      <w:pPr>
        <w:spacing w:after="240" w:before="0" w:line="480" w:lineRule="auto"/>
        <w:ind w:firstLine="720"/>
        <w:jc w:val="both"/>
      </w:pPr>
      <w:r>
        <w:rPr>
          <w:rFonts w:ascii="Times New Roman" w:cs="Times New Roman" w:eastAsia="Times New Roman" w:hAnsi="Times New Roman"/>
          <w:sz w:val="24"/>
          <w:szCs w:val="24"/>
        </w:rPr>
        <w:t xml:space="preserve">Desde la Teoría de la Actividad, el SIP puede clasificarse también según el tipo de mediación que ejerce en cada momento de la actividad educativa: pragmática, cuando produce la actividad; epistémica, cuando hace visible el objeto de la actividad; y heurística, cuando orienta y controla el curso de la acción (Rabardel, 1995). Esta clasificación funcional permite analizar de manera diferenciada los efectos del SIP sobre distintas dimensiones de la práctica educativa, desde la producción de resultados hasta la orientación de la comprensión del sujeto.</w:t>
      </w:r>
    </w:p>
    <w:p>
      <w:pPr>
        <w:spacing w:after="0" w:before="0"/>
      </w:pPr>
      <w:r>
        <w:t xml:space="preserve"/>
      </w:r>
    </w:p>
    <w:p>
      <w:pPr>
        <w:pStyle w:val="Heading2"/>
        <w:spacing w:after="120" w:before="360"/>
      </w:pPr>
      <w:r>
        <w:rPr>
          <w:rFonts w:ascii="Times New Roman" w:cs="Times New Roman" w:eastAsia="Times New Roman" w:hAnsi="Times New Roman"/>
          <w:b/>
          <w:bCs/>
          <w:i/>
          <w:iCs/>
          <w:sz w:val="26"/>
          <w:szCs w:val="26"/>
        </w:rPr>
        <w:t xml:space="preserve">Vinculación</w:t>
      </w:r>
    </w:p>
    <w:p>
      <w:pPr>
        <w:spacing w:after="240" w:before="0" w:line="480" w:lineRule="auto"/>
        <w:ind w:firstLine="720"/>
        <w:jc w:val="both"/>
      </w:pPr>
      <w:r>
        <w:rPr>
          <w:rFonts w:ascii="Times New Roman" w:cs="Times New Roman" w:eastAsia="Times New Roman" w:hAnsi="Times New Roman"/>
          <w:sz w:val="24"/>
          <w:szCs w:val="24"/>
        </w:rPr>
        <w:t xml:space="preserve">El Sistema Instrumental Psicotécnico se sitúa en la intersección de cuatro marcos teóricos que lo fundamentan desde perspectivas disciplinares y epistemológicas distintas pero complementarias. Esta vinculación múltiple no implica eclecticismo teórico, sino la condición transdisciplinar del concepto: ninguno de los marcos por sí solo es suficiente para dar cuenta de la complejidad del SIP.</w:t>
      </w:r>
    </w:p>
    <w:p>
      <w:pPr>
        <w:spacing w:after="240" w:before="0" w:line="480" w:lineRule="auto"/>
        <w:ind w:firstLine="720"/>
        <w:jc w:val="both"/>
      </w:pPr>
      <w:r>
        <w:rPr>
          <w:rFonts w:ascii="Times New Roman" w:cs="Times New Roman" w:eastAsia="Times New Roman" w:hAnsi="Times New Roman"/>
          <w:sz w:val="24"/>
          <w:szCs w:val="24"/>
        </w:rPr>
        <w:t xml:space="preserve">La vinculación primaria es con la Teoría de la Actividad (AT), cuyo desarrollo abarca desde los trabajos fundacionales de Vygotsky (1930/1985) y Leontiev (1978) hasta las contribuciones de Engeström (1987) y Kaptelinin (1996) en contextos tecnológicos. La AT provee los conceptos fundamentales que articulan la naturaleza del SIP: herramienta y signo como mediadores de la actividad psicológica; zona de desarrollo próximo como dimensión dinámica del aprendizaje asistido; génesis instrumental como proceso de co-construcción sujeto-artefacto; y anticipación (feed-forward) como componente cognitivo orientado a metas (Bedny et al., 2000). En particular, Kaptelinin y Kuutti (1999) señalan que, desde una perspectiva mediacional, el ser humano y sus instrumentos constituyen un único sistema funcional, lo que fundamenta la existencia del SIP como unidad de análisis integrada y no como la suma de sus partes.</w:t>
      </w:r>
    </w:p>
    <w:p>
      <w:pPr>
        <w:spacing w:after="240" w:before="0" w:line="480" w:lineRule="auto"/>
        <w:ind w:firstLine="720"/>
        <w:jc w:val="both"/>
      </w:pPr>
      <w:r>
        <w:rPr>
          <w:rFonts w:ascii="Times New Roman" w:cs="Times New Roman" w:eastAsia="Times New Roman" w:hAnsi="Times New Roman"/>
          <w:sz w:val="24"/>
          <w:szCs w:val="24"/>
        </w:rPr>
        <w:t xml:space="preserve">La vinculación secundaria es con el posthumanismo crítico (Braidotti, 2019). Desde esta perspectiva, la subjetividad se co-construye con lo no-humano, disolviendo la frontera ontológica entre el sujeto y sus instrumentos. Esta premisa justifica la existencia del SIP como entidad que participa activamente en procesos psicológicos: si la conciencia es distribuida y relacional, entonces los sistemas técnicos no son externos al sujeto sino constitutivos de su subjetividad. El posthumanismo crítico amplía el alcance epistemológico del concepto de instrumento psicotécnico más allá de la ergonomía cognitiva, hacia una ontología del sujeto colectivo cuya conciencia se distribuye entre sistemas.</w:t>
      </w:r>
    </w:p>
    <w:p>
      <w:pPr>
        <w:spacing w:after="240" w:before="0" w:line="480" w:lineRule="auto"/>
        <w:ind w:firstLine="720"/>
        <w:jc w:val="both"/>
      </w:pPr>
      <w:r>
        <w:rPr>
          <w:rFonts w:ascii="Times New Roman" w:cs="Times New Roman" w:eastAsia="Times New Roman" w:hAnsi="Times New Roman"/>
          <w:sz w:val="24"/>
          <w:szCs w:val="24"/>
        </w:rPr>
        <w:t xml:space="preserve">La vinculación terciaria es con la Investigación Basada en Diseño (IBD; McKenney &amp; Reeves, 2018). El SIP no solo es un concepto teórico, sino una categoría de diseño: se construye, implementa y valida mediante ciclos iterativos de análisis, intervención y evaluación propios del IBD. Este marco metodológico provee el andamiaje para las iteraciones humano-sistema que constituyen la génesis instrumental del SIP, articulando la dimensión teórica del concepto con su producción empírica en contextos educativos concretos. La IBD permite así que el SIP transite del nivel conceptual al nivel de artefacto validado en la práctica.</w:t>
      </w:r>
    </w:p>
    <w:p>
      <w:pPr>
        <w:spacing w:after="240" w:before="0" w:line="480" w:lineRule="auto"/>
        <w:ind w:firstLine="720"/>
        <w:jc w:val="both"/>
      </w:pPr>
      <w:r>
        <w:rPr>
          <w:rFonts w:ascii="Times New Roman" w:cs="Times New Roman" w:eastAsia="Times New Roman" w:hAnsi="Times New Roman"/>
          <w:sz w:val="24"/>
          <w:szCs w:val="24"/>
        </w:rPr>
        <w:t xml:space="preserve">La vinculación cuaternaria es con la educación transdigital (Escudero-Nahón, 2021). La educación transdigital sitúa el aprendizaje en la intersección entre lo humano y lo no-humano, vinculando aprendizaje humano y no-humano en sistemas híbridos, y exige nuevas categorías de análisis que le permitan describir con precisión las entidades que emergen de esa intersección. El SIP responde directamente a esa demanda: nomina y describe con rigor conceptual la entidad que emerge de la co-construcción humano-sistema en contextos educativos postdigitales, ofreciendo un marco que permite estudiar, diseñar y evaluar dichos sistemas de manera transdisciplinar.</w:t>
      </w:r>
    </w:p>
    <w:p>
      <w:pPr>
        <w:spacing w:after="0" w:before="0"/>
      </w:pPr>
      <w:r>
        <w:t xml:space="preserve"/>
      </w:r>
    </w:p>
    <w:p>
      <w:pPr>
        <w:pStyle w:val="Heading1"/>
        <w:spacing w:after="240" w:before="480"/>
      </w:pPr>
      <w:r>
        <w:rPr>
          <w:rFonts w:ascii="Times New Roman" w:cs="Times New Roman" w:eastAsia="Times New Roman" w:hAnsi="Times New Roman"/>
          <w:b/>
          <w:bCs/>
          <w:sz w:val="28"/>
          <w:szCs w:val="28"/>
        </w:rPr>
        <w:t xml:space="preserve">REFERENCIAS (NUEVAS EN ESTA ACTUALIZACIÓN)</w:t>
      </w:r>
    </w:p>
    <w:p>
      <w:pPr>
        <w:spacing w:after="240" w:before="0" w:line="480" w:lineRule="auto"/>
        <w:ind/>
        <w:jc w:val="both"/>
      </w:pPr>
      <w:r>
        <w:rPr>
          <w:rFonts w:ascii="Times New Roman" w:cs="Times New Roman" w:eastAsia="Times New Roman" w:hAnsi="Times New Roman"/>
          <w:sz w:val="24"/>
          <w:szCs w:val="24"/>
        </w:rPr>
        <w:t xml:space="preserve">Bedny, G. Z., Seglin, M. H., &amp; Meister, D. (2000). Activity theory: History, research and application. Theoretical Issues in Ergonomics Science, 1(2), 168–206. https://doi.org/10.1080/14639220050171324</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Béguin, P., &amp; Rabardel, P. (2000). Designing for instrument-mediated activity. Scandinavian Journal of Information Systems, 12(1), 173–190. https://aisel.aisnet.org/sjis/vol12/iss1/1</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Braidotti, R. (2019). Posthuman knowledge. Polity Press.</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Escudero-Nahón, A. (2021). Transdigital education: Conceptual cartography. The International Journal of Technologies in Learning, 28(2), 1–19. https://doi.org/10.18848/2327-0144/CGP</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Kaptelinin, V. (1996). Computer-mediated activity: Functional organs in social and developmental contexts. En B. A. Nardi (Ed.), Context and consciousness: Activity theory and human-computer interaction (pp. 45–68). MIT Press.</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Kaptelinin, V., &amp; Kuutti, K. (1999). Cognitive tools reconsidered: From augmentation to mediation. En J. P. Marsh et al. (Eds.), Human interfaces: Questions of method and practice in cognitive technology (pp. 145–162). Elsevier Science BV.</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McKenney, S., &amp; Reeves, T. C. (2018). Conducting educational design research (2.a ed.). Routledge.</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Ortega-Carbajal, M. F., Hernández-Mosqueda, J. S., &amp; Tobón-Tobón, S. (2015). Impacto de la cartografía conceptual como estrategia de gestión del conocimiento. Ra Ximhai, 11(4), 171–180.</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The BMJ, 372, n71. https://doi.org/10.1136/bmj.n71</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Peters, M. A., &amp; Jandrić, P. (2019). The digital university: A dialogue and manifesto. Peter Lang.</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Rabardel, P. (1995). Les hommes et les technologies: Approche cognitive des instruments contemporains. Armand Colin.</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Tobón, S. (2004). Estrategias didácticas para formar competencias: La cartografía conceptual. CIFE.</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Tobón, S. (2012). Cartografía conceptual: Estrategia para la formación y evaluación de conceptos y teorías. CIFE.</w:t>
      </w:r>
    </w:p>
    <w:p>
      <w:pPr>
        <w:spacing w:after="0" w:before="0"/>
      </w:pPr>
      <w:r>
        <w:t xml:space="preserve"/>
      </w:r>
    </w:p>
    <w:p>
      <w:pPr>
        <w:spacing w:after="240" w:before="0" w:line="480" w:lineRule="auto"/>
        <w:ind/>
        <w:jc w:val="both"/>
      </w:pPr>
      <w:r>
        <w:rPr>
          <w:rFonts w:ascii="Times New Roman" w:cs="Times New Roman" w:eastAsia="Times New Roman" w:hAnsi="Times New Roman"/>
          <w:sz w:val="24"/>
          <w:szCs w:val="24"/>
        </w:rPr>
        <w:t xml:space="preserve">Vygotsky, L. S. (1930/1985). La méthode instrumentale en psychologie. En J. P. Bronckart (Ed.), Vygotsky aujourd'hui (pp. 39–47). Delachaux et Niestlé.</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jc w:val="both"/>
            </w:pPr>
            <w:r>
              <w:rPr>
                <w:rFonts w:ascii="Times New Roman" w:cs="Times New Roman" w:eastAsia="Times New Roman" w:hAnsi="Times New Roman"/>
                <w:i/>
                <w:iCs/>
                <w:color w:val="5D4037"/>
                <w:sz w:val="20"/>
                <w:szCs w:val="20"/>
              </w:rPr>
              <w:t xml:space="preserve">PENDIENTE PARA PRÓXIMA ACTUALIZACIÓN: Noción (completar síntesis y citas APA de Vygotsky), Categorización (diagrama de Venn narrativo), Metodología (redacción a cargo del autor), Ejemplificación (caso DTE-UAQ), Discusión y Conclusiones.</w:t>
            </w:r>
          </w:p>
        </w:tc>
      </w:tr>
    </w:tbl>
    <w:sectPr>
      <w:footerReference w:type="default" r:id="rId7"/>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999999"/>
        <w:sz w:val="18"/>
        <w:szCs w:val="18"/>
      </w:rPr>
      <w:t xml:space="preserve">Cartografía Conceptual SIP — Borrador Actualización 1 ·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B5E20"/>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i/>
      <w:i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2026-04-30T23:51:50.687Z</dcterms:created>
  <dcterms:modified xsi:type="dcterms:W3CDTF">2026-04-30T23:51:50.693Z</dcterms:modified>
</cp:coreProperties>
</file>

<file path=docProps/custom.xml><?xml version="1.0" encoding="utf-8"?>
<Properties xmlns="http://schemas.openxmlformats.org/officeDocument/2006/custom-properties" xmlns:vt="http://schemas.openxmlformats.org/officeDocument/2006/docPropsVTypes"/>
</file>