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1440" w:after="120" w:line="360" w:lineRule="auto"/>
      </w:pPr>
      <w:r>
        <w:rPr>
          <w:rFonts w:ascii="Times New Roman" w:hAnsi="Times New Roman" w:cs="Times New Roman"/>
          <w:b/>
          <w:i w:val="0"/>
          <w:sz w:val="28"/>
        </w:rPr>
        <w:t>Universidad Autónoma de Querétaro</w:t>
      </w:r>
    </w:p>
    <w:p>
      <w:pPr>
        <w:jc w:val="center"/>
        <w:spacing w:before="0" w:after="120" w:line="360" w:lineRule="auto"/>
      </w:pPr>
      <w:r>
        <w:rPr>
          <w:rFonts w:ascii="Times New Roman" w:hAnsi="Times New Roman" w:cs="Times New Roman"/>
          <w:b/>
          <w:i w:val="0"/>
          <w:sz w:val="26"/>
        </w:rPr>
        <w:t>Facultad de Informática</w:t>
      </w:r>
    </w:p>
    <w:p>
      <w:pPr>
        <w:jc w:val="center"/>
        <w:spacing w:before="0" w:after="720" w:line="360" w:lineRule="auto"/>
      </w:pPr>
      <w:r>
        <w:rPr>
          <w:rFonts w:ascii="Times New Roman" w:hAnsi="Times New Roman" w:cs="Times New Roman"/>
          <w:b/>
          <w:i w:val="0"/>
          <w:sz w:val="26"/>
        </w:rPr>
        <w:t>Doctorado en Tecnología Educativa</w:t>
      </w:r>
    </w:p>
    <w:p>
      <w:pPr>
        <w:jc w:val="center"/>
        <w:spacing w:before="480" w:after="240" w:line="360" w:lineRule="auto"/>
      </w:pPr>
      <w:r>
        <w:rPr>
          <w:rFonts w:ascii="Times New Roman" w:hAnsi="Times New Roman" w:cs="Times New Roman"/>
          <w:b/>
          <w:i w:val="0"/>
          <w:sz w:val="24"/>
        </w:rPr>
        <w:t>TESIS DOCTORAL</w:t>
      </w:r>
    </w:p>
    <w:p>
      <w:pPr>
        <w:jc w:val="center"/>
        <w:spacing w:before="240" w:after="960" w:line="360" w:lineRule="auto"/>
      </w:pPr>
      <w:r>
        <w:rPr>
          <w:rFonts w:ascii="Times New Roman" w:hAnsi="Times New Roman" w:cs="Times New Roman"/>
          <w:b/>
          <w:i w:val="0"/>
          <w:sz w:val="28"/>
        </w:rPr>
        <w:t>Sistema Instrumental Psicotécnico para la Detección Temprana del Abandono Escolar: Un Modelo de Stacking Ensemble con Variables Psicoemocionales en la Educación Superior</w:t>
      </w:r>
    </w:p>
    <w:p>
      <w:pPr>
        <w:jc w:val="center"/>
        <w:spacing w:before="0" w:after="120" w:line="360" w:lineRule="auto"/>
      </w:pPr>
      <w:r>
        <w:rPr>
          <w:rFonts w:ascii="Times New Roman" w:hAnsi="Times New Roman" w:cs="Times New Roman"/>
          <w:b w:val="0"/>
          <w:i w:val="0"/>
          <w:sz w:val="24"/>
        </w:rPr>
        <w:t>Presenta:</w:t>
      </w:r>
    </w:p>
    <w:p>
      <w:pPr>
        <w:jc w:val="center"/>
        <w:spacing w:before="0" w:after="480" w:line="360" w:lineRule="auto"/>
      </w:pPr>
      <w:r>
        <w:rPr>
          <w:rFonts w:ascii="Times New Roman" w:hAnsi="Times New Roman" w:cs="Times New Roman"/>
          <w:b/>
          <w:i w:val="0"/>
          <w:sz w:val="24"/>
        </w:rPr>
        <w:t>Luis Francisco Pardo Pera</w:t>
      </w:r>
    </w:p>
    <w:p>
      <w:pPr>
        <w:jc w:val="center"/>
        <w:spacing w:before="0" w:after="120" w:line="360" w:lineRule="auto"/>
      </w:pPr>
      <w:r>
        <w:rPr>
          <w:rFonts w:ascii="Times New Roman" w:hAnsi="Times New Roman" w:cs="Times New Roman"/>
          <w:b w:val="0"/>
          <w:i w:val="0"/>
          <w:sz w:val="24"/>
        </w:rPr>
        <w:t>Directora:</w:t>
      </w:r>
    </w:p>
    <w:p>
      <w:pPr>
        <w:jc w:val="center"/>
        <w:spacing w:before="0" w:after="960" w:line="360" w:lineRule="auto"/>
      </w:pPr>
      <w:r>
        <w:rPr>
          <w:rFonts w:ascii="Times New Roman" w:hAnsi="Times New Roman" w:cs="Times New Roman"/>
          <w:b/>
          <w:i w:val="0"/>
          <w:sz w:val="24"/>
        </w:rPr>
        <w:t>Dra. Ileana Cruz Sánchez</w:t>
      </w:r>
    </w:p>
    <w:p>
      <w:pPr>
        <w:jc w:val="center"/>
        <w:spacing w:before="0" w:after="0" w:line="360" w:lineRule="auto"/>
      </w:pPr>
      <w:r>
        <w:rPr>
          <w:rFonts w:ascii="Times New Roman" w:hAnsi="Times New Roman" w:cs="Times New Roman"/>
          <w:b w:val="0"/>
          <w:i w:val="0"/>
          <w:sz w:val="24"/>
        </w:rPr>
        <w:t>Querétaro, Qro., 2026</w:t>
      </w:r>
    </w:p>
    <w:p>
      <w:r>
        <w:br w:type="page"/>
      </w:r>
    </w:p>
    <w:p>
      <w:pPr>
        <w:pStyle w:val="Heading1"/>
        <w:jc w:val="left"/>
        <w:spacing w:before="480" w:after="240" w:line="360" w:lineRule="auto"/>
      </w:pPr>
      <w:r>
        <w:rPr>
          <w:rFonts w:ascii="Times New Roman" w:hAnsi="Times New Roman" w:cs="Times New Roman"/>
          <w:b/>
          <w:i w:val="0"/>
          <w:sz w:val="28"/>
        </w:rPr>
        <w:t>CAPÍTULO 1. INTRODUCCIÓN</w:t>
      </w:r>
    </w:p>
    <w:p>
      <w:pPr>
        <w:pStyle w:val="Heading2"/>
        <w:jc w:val="left"/>
        <w:spacing w:before="360" w:after="180" w:line="360" w:lineRule="auto"/>
      </w:pPr>
      <w:r>
        <w:rPr>
          <w:rFonts w:ascii="Times New Roman" w:hAnsi="Times New Roman" w:cs="Times New Roman"/>
          <w:b/>
          <w:i w:val="0"/>
          <w:sz w:val="26"/>
        </w:rPr>
        <w:t>1.1 Descripción del problema</w:t>
      </w:r>
    </w:p>
    <w:p>
      <w:pPr>
        <w:jc w:val="both"/>
        <w:spacing w:before="0" w:after="160" w:line="360" w:lineRule="auto"/>
      </w:pPr>
      <w:r>
        <w:rPr>
          <w:rFonts w:ascii="Times New Roman" w:hAnsi="Times New Roman" w:cs="Times New Roman"/>
          <w:b w:val="0"/>
          <w:i w:val="0"/>
          <w:sz w:val="24"/>
        </w:rPr>
        <w:t>La deserción escolar constituye uno de los desafíos más persistentes y complejos que enfrentan los sistemas educativos a nivel mundial. Según estimaciones de la UNESCO (2023), más de 244 millones de niños y jóvenes en edad escolar permanecen fuera del sistema educativo, cifra que se agrava de manera significativa en contextos de vulnerabilidad socioeconómica. En América Latina, la problemática adquiere dimensiones críticas: México, con una tasa de abandono en educación media superior cercana al 30.9% en el ciclo escolar 2024-2025, refleja una brecha estructural que las políticas educativas convencionales no han logrado cerrar (SEP, 2024). Este fenómeno multicausal afecta no solo el desarrollo individual de los estudiantes, sino también el capital humano y la cohesión social de las comunidades (Berumen et al., 2023; Sarango et al., 2023).</w:t>
      </w:r>
    </w:p>
    <w:p>
      <w:pPr>
        <w:jc w:val="both"/>
        <w:spacing w:before="0" w:after="160" w:line="360" w:lineRule="auto"/>
      </w:pPr>
      <w:r>
        <w:rPr>
          <w:rFonts w:ascii="Times New Roman" w:hAnsi="Times New Roman" w:cs="Times New Roman"/>
          <w:b w:val="0"/>
          <w:i w:val="0"/>
          <w:sz w:val="24"/>
        </w:rPr>
        <w:t>La deserción escolar es un fenómeno multidimensional cuya comprensión requiere trascender las explicaciones centradas únicamente en el rendimiento académico o las condiciones socioeconómicas del estudiante. Como señalan Miranda-Medina y González (2021), la deserción implica la interacción dinámica de factores escolares, sociales, familiares e individuales que, en conjunto, erosionan la vinculación del estudiante con el sistema educativo. En México, durante el ciclo escolar 2024-2025, se estima que 994,219 estudiantes abandonaron la educación media superior, evidenciando la urgencia de intervenciones que transiten hacia estrategias de identificación y prevención tempranas (Educación con Rumbo, 2025). Los estudios realizados en el ámbito latinoamericano apuntan hacia la coexistencia de múltiples factores de riesgo: Pachay-López et al. (2021) identifican que la desmotivación, la percepción de bajo apoyo institucional y las condiciones socioeconómicas adversas constituyen los principales predictores del abandono escolar en la región. Investigaciones recientes subrayan que los factores psicoemocionales —particularmente los relacionados con la salud mental, la autoeficacia académica y el sentido de pertenencia— son predictores tan relevantes como los indicadores académicos tradicionales (Bulut et al., 2024; Herreño-Munera, 2024).</w:t>
      </w:r>
    </w:p>
    <w:p>
      <w:pPr>
        <w:jc w:val="both"/>
        <w:spacing w:before="0" w:after="160" w:line="360" w:lineRule="auto"/>
      </w:pPr>
      <w:r>
        <w:rPr>
          <w:rFonts w:ascii="Times New Roman" w:hAnsi="Times New Roman" w:cs="Times New Roman"/>
          <w:b w:val="0"/>
          <w:i w:val="0"/>
          <w:sz w:val="24"/>
        </w:rPr>
        <w:t>A pesar del avance en la aplicación del machine learning para la predicción de la deserción escolar, la mayoría de los modelos desarrollados operan con variables académicas y administrativas —calificaciones, tasas de asistencia y resultados de exámenes (Sanusi et al., 2021; Azeem et al., 2019)—. Si bien estos modelos han alcanzado altos niveles de precisión —Kemper et al. (2020) reportó una precisión superior al 95%—, su capacidad explicativa queda limitada al no considerar las dimensiones subjetivas del bienestar estudiantil. Las instituciones que adoptan estas herramientas disponen de sistemas que señalan el riesgo, pero no ofrecen información suficiente sobre las causas psicoemocionales subyacentes que podrían orientar intervenciones más efectivas.</w:t>
      </w:r>
    </w:p>
    <w:p>
      <w:pPr>
        <w:jc w:val="both"/>
        <w:spacing w:before="0" w:after="160" w:line="360" w:lineRule="auto"/>
      </w:pPr>
      <w:r>
        <w:rPr>
          <w:rFonts w:ascii="Times New Roman" w:hAnsi="Times New Roman" w:cs="Times New Roman"/>
          <w:b w:val="0"/>
          <w:i w:val="0"/>
          <w:sz w:val="24"/>
        </w:rPr>
        <w:t>Lo anterior conduce al problema central de esta investigación: ¿En qué medida un modelo predictivo basado en machine learning de stacking compuesto, que integra variables psicoemocionales junto con indicadores académicos y sociodemográficos, mejora la identificación temprana de estudiantes en riesgo de deserción escolar en instituciones de educación superior del estado de Querétaro?</w:t>
      </w:r>
    </w:p>
    <w:p>
      <w:pPr>
        <w:pStyle w:val="Heading2"/>
        <w:jc w:val="left"/>
        <w:spacing w:before="360" w:after="180" w:line="360" w:lineRule="auto"/>
      </w:pPr>
      <w:r>
        <w:rPr>
          <w:rFonts w:ascii="Times New Roman" w:hAnsi="Times New Roman" w:cs="Times New Roman"/>
          <w:b/>
          <w:i w:val="0"/>
          <w:sz w:val="26"/>
        </w:rPr>
        <w:t>1.2 Justificación</w:t>
      </w:r>
    </w:p>
    <w:p>
      <w:pPr>
        <w:pStyle w:val="Heading3"/>
        <w:jc w:val="left"/>
        <w:spacing w:before="240" w:after="120" w:line="360" w:lineRule="auto"/>
      </w:pPr>
      <w:r>
        <w:rPr>
          <w:rFonts w:ascii="Times New Roman" w:hAnsi="Times New Roman" w:cs="Times New Roman"/>
          <w:b/>
          <w:i w:val="0"/>
          <w:sz w:val="24"/>
        </w:rPr>
        <w:t>1.2.1 Relevancia científica</w:t>
      </w:r>
    </w:p>
    <w:p>
      <w:pPr>
        <w:jc w:val="both"/>
        <w:spacing w:before="0" w:after="160" w:line="360" w:lineRule="auto"/>
      </w:pPr>
      <w:r>
        <w:rPr>
          <w:rFonts w:ascii="Times New Roman" w:hAnsi="Times New Roman" w:cs="Times New Roman"/>
          <w:b w:val="0"/>
          <w:i w:val="0"/>
          <w:sz w:val="24"/>
        </w:rPr>
        <w:t>La relevancia científica de la presente investigación se fundamenta en la necesidad de superar las limitaciones de los modelos predictivos convencionales mediante la incorporación de variables psicoemocionales como dimensiones estructurales del análisis del riesgo de deserción. La literatura especializada ha documentado que factores como el bienestar emocional, la autoeficacia académica, el sentido de pertenencia y el apoyo social predicen significativamente la permanencia estudiantil (Bulut et al., 2024; De Ridder et al., 2013; Maher &amp; Haegele, 2024). La investigación busca contribuir a este vacío mediante el diseño, validación y aplicación de un instrumento de medición psicoemocional de 165 ítems estructurado en seis dimensiones teóricamente fundamentadas.</w:t>
      </w:r>
    </w:p>
    <w:p>
      <w:pPr>
        <w:pStyle w:val="Heading3"/>
        <w:jc w:val="left"/>
        <w:spacing w:before="240" w:after="120" w:line="360" w:lineRule="auto"/>
      </w:pPr>
      <w:r>
        <w:rPr>
          <w:rFonts w:ascii="Times New Roman" w:hAnsi="Times New Roman" w:cs="Times New Roman"/>
          <w:b/>
          <w:i w:val="0"/>
          <w:sz w:val="24"/>
        </w:rPr>
        <w:t>1.2.2 Relevancia metodológica</w:t>
      </w:r>
    </w:p>
    <w:p>
      <w:pPr>
        <w:jc w:val="both"/>
        <w:spacing w:before="0" w:after="160" w:line="360" w:lineRule="auto"/>
      </w:pPr>
      <w:r>
        <w:rPr>
          <w:rFonts w:ascii="Times New Roman" w:hAnsi="Times New Roman" w:cs="Times New Roman"/>
          <w:b w:val="0"/>
          <w:i w:val="0"/>
          <w:sz w:val="24"/>
        </w:rPr>
        <w:t>Desde el punto de vista metodológico, la investigación propone una arquitectura de stacking compuesto que combina tres algoritmos de base —Random Forest (RF), XGBoost y Gradient Boosting (GB)— con una Red Neuronal de Alimentación Directa (FNN) como meta-aprendiz. Este enfoque posibilita la interpretación mediante inteligencia artificial explicable (XAI), específicamente a través del análisis de valores SHAP (SHapley Additive exPlanations). La investigación trasciende el objetivo puramente predictivo para ofrecer un marco metodológico replicable que vincule la predicción automatizada con la comprensión de los factores psicoemocionales más influyentes en el abandono escolar. Esta articulación entre predicción y comprensión no es un complemento técnico: es la condición de posibilidad del ciclo comprensión-intervención-retroalimentación (CIR) que constituye el propósito central del Sistema Instrumental Psicotécnico (SIP) propuesto.</w:t>
      </w:r>
    </w:p>
    <w:p>
      <w:pPr>
        <w:pStyle w:val="Heading3"/>
        <w:jc w:val="left"/>
        <w:spacing w:before="240" w:after="120" w:line="360" w:lineRule="auto"/>
      </w:pPr>
      <w:r>
        <w:rPr>
          <w:rFonts w:ascii="Times New Roman" w:hAnsi="Times New Roman" w:cs="Times New Roman"/>
          <w:b/>
          <w:i w:val="0"/>
          <w:sz w:val="24"/>
        </w:rPr>
        <w:t>1.2.3 Relevancia social</w:t>
      </w:r>
    </w:p>
    <w:p>
      <w:pPr>
        <w:jc w:val="both"/>
        <w:spacing w:before="0" w:after="160" w:line="360" w:lineRule="auto"/>
      </w:pPr>
      <w:r>
        <w:rPr>
          <w:rFonts w:ascii="Times New Roman" w:hAnsi="Times New Roman" w:cs="Times New Roman"/>
          <w:b w:val="0"/>
          <w:i w:val="0"/>
          <w:sz w:val="24"/>
        </w:rPr>
        <w:t>La deserción limita las oportunidades laborales y el desarrollo personal de los estudiantes afectados, al tiempo que genera costos económicos estimados en un 0.4% del producto interno bruto nacional (Miranda-Medina &amp; González, 2021). Los resultados de este estudio tienen el potencial de dotar a las instituciones educativas de herramientas diagnósticas de alta resolución que permitan identificar tempranamente a los estudiantes con mayor riesgo de abandono, posibilitando intervenciones personalizadas (Triquet, 2022; Allensworth et al., 2017).</w:t>
      </w:r>
    </w:p>
    <w:p>
      <w:pPr>
        <w:pStyle w:val="Heading3"/>
        <w:jc w:val="left"/>
        <w:spacing w:before="240" w:after="120" w:line="360" w:lineRule="auto"/>
      </w:pPr>
      <w:r>
        <w:rPr>
          <w:rFonts w:ascii="Times New Roman" w:hAnsi="Times New Roman" w:cs="Times New Roman"/>
          <w:b/>
          <w:i w:val="0"/>
          <w:sz w:val="24"/>
        </w:rPr>
        <w:t>1.2.4 Relevancia ética</w:t>
      </w:r>
    </w:p>
    <w:p>
      <w:pPr>
        <w:jc w:val="both"/>
        <w:spacing w:before="0" w:after="160" w:line="360" w:lineRule="auto"/>
      </w:pPr>
      <w:r>
        <w:rPr>
          <w:rFonts w:ascii="Times New Roman" w:hAnsi="Times New Roman" w:cs="Times New Roman"/>
          <w:b w:val="0"/>
          <w:i w:val="0"/>
          <w:sz w:val="24"/>
        </w:rPr>
        <w:t>La incorporación de modelos predictivos basados en inteligencia artificial en entornos educativos plantea responsabilidades que esta investigación asume explícitamente. La gestión responsable de los datos, la transparencia en el diseño y operación de los algoritmos, y el uso de técnicas de explicabilidad para garantizar la comprensión de las predicciones por parte de los actores educativos son principios que guían el desarrollo metodológico (Treviño &amp; Maldonado, 2020).</w:t>
      </w:r>
    </w:p>
    <w:p>
      <w:pPr>
        <w:pStyle w:val="Heading2"/>
        <w:jc w:val="left"/>
        <w:spacing w:before="360" w:after="180" w:line="360" w:lineRule="auto"/>
      </w:pPr>
      <w:r>
        <w:rPr>
          <w:rFonts w:ascii="Times New Roman" w:hAnsi="Times New Roman" w:cs="Times New Roman"/>
          <w:b/>
          <w:i w:val="0"/>
          <w:sz w:val="26"/>
        </w:rPr>
        <w:t>1.3 Del sistema predictivo al sistema de mediación psicotécnica</w:t>
      </w:r>
    </w:p>
    <w:p>
      <w:pPr>
        <w:jc w:val="both"/>
        <w:spacing w:before="0" w:after="160" w:line="360" w:lineRule="auto"/>
      </w:pPr>
      <w:r>
        <w:rPr>
          <w:rFonts w:ascii="Times New Roman" w:hAnsi="Times New Roman" w:cs="Times New Roman"/>
          <w:b w:val="0"/>
          <w:i w:val="0"/>
          <w:sz w:val="24"/>
        </w:rPr>
        <w:t>La predicción no es el objetivo final de esta investigación. Es el primer eslabón de un proceso más amplio cuyo objetivo es generar ciclos sostenidos de comprensión-intervención-retroalimentación (CIR) que transformen el ecosistema educativo.</w:t>
      </w:r>
    </w:p>
    <w:p>
      <w:pPr>
        <w:jc w:val="both"/>
        <w:spacing w:before="0" w:after="160" w:line="360" w:lineRule="auto"/>
      </w:pPr>
      <w:r>
        <w:rPr>
          <w:rFonts w:ascii="Times New Roman" w:hAnsi="Times New Roman" w:cs="Times New Roman"/>
          <w:b w:val="0"/>
          <w:i w:val="0"/>
          <w:sz w:val="24"/>
        </w:rPr>
        <w:t>Esta distinción tiene consecuencias directas sobre el diseño del sistema. Un sistema puramente predictivo se evalúa por su exactitud. Un sistema de mediación psicotécnica se evalúa por su capacidad de generar comprensión accionable en los orientadores, de producir intervenciones que modifiquen trayectorias de riesgo, y de retroalimentarse con los resultados para mejorar su siguiente ciclo.</w:t>
      </w:r>
    </w:p>
    <w:p>
      <w:pPr>
        <w:jc w:val="both"/>
        <w:spacing w:before="0" w:after="160" w:line="360" w:lineRule="auto"/>
      </w:pPr>
      <w:r>
        <w:rPr>
          <w:rFonts w:ascii="Times New Roman" w:hAnsi="Times New Roman" w:cs="Times New Roman"/>
          <w:b w:val="0"/>
          <w:i w:val="0"/>
          <w:sz w:val="24"/>
        </w:rPr>
        <w:t>Este reencuadre se fundamenta en el concepto de Sistema Instrumental Psicotécnico (SIP): la categoría de análisis transdisciplinar propuesta en esta investigación para describir los sistemas tecnológicos como entidades psicológicas y sociales que median el desarrollo de la actividad humana en la práctica educativa. Desde el SIP, el modelo de machine learning no es un artefacto técnico neutral — es un instrumento que, cuando es apropiado por los actores educativos en su actividad, co-construye conocimiento sobre la deserción y orienta la acción pedagógica.</w:t>
      </w:r>
    </w:p>
    <w:p>
      <w:pPr>
        <w:jc w:val="both"/>
        <w:spacing w:before="0" w:after="160" w:line="360" w:lineRule="auto"/>
      </w:pPr>
      <w:r>
        <w:rPr>
          <w:rFonts w:ascii="Times New Roman" w:hAnsi="Times New Roman" w:cs="Times New Roman"/>
          <w:b w:val="0"/>
          <w:i w:val="0"/>
          <w:sz w:val="24"/>
        </w:rPr>
        <w:t>El ciclo CIR opera de la siguiente manera:</w:t>
      </w:r>
    </w:p>
    <w:p>
      <w:pPr>
        <w:ind w:left="567"/>
        <w:jc w:val="both"/>
        <w:spacing w:before="0" w:after="120" w:line="360" w:lineRule="auto"/>
      </w:pPr>
      <w:r>
        <w:rPr>
          <w:rFonts w:ascii="Times New Roman" w:hAnsi="Times New Roman" w:cs="Times New Roman"/>
          <w:b w:val="0"/>
          <w:i w:val="0"/>
          <w:sz w:val="24"/>
        </w:rPr>
        <w:t>1. Comprensión: la predicción del modelo, explicada mediante valores SHAP, permite al orientador comprender qué factores psicoemocionales específicos están impulsando el riesgo de un estudiante determinado</w:t>
      </w:r>
    </w:p>
    <w:p>
      <w:pPr>
        <w:ind w:left="567"/>
        <w:jc w:val="both"/>
        <w:spacing w:before="0" w:after="120" w:line="360" w:lineRule="auto"/>
      </w:pPr>
      <w:r>
        <w:rPr>
          <w:rFonts w:ascii="Times New Roman" w:hAnsi="Times New Roman" w:cs="Times New Roman"/>
          <w:b w:val="0"/>
          <w:i w:val="0"/>
          <w:sz w:val="24"/>
        </w:rPr>
        <w:t>2. Intervención: esa comprensión orienta una intervención pedagógica personalizada, focalizada en las dimensiones de mayor vulnerabilidad identificadas por el sistema</w:t>
      </w:r>
    </w:p>
    <w:p>
      <w:pPr>
        <w:ind w:left="567"/>
        <w:jc w:val="both"/>
        <w:spacing w:before="0" w:after="120" w:line="360" w:lineRule="auto"/>
      </w:pPr>
      <w:r>
        <w:rPr>
          <w:rFonts w:ascii="Times New Roman" w:hAnsi="Times New Roman" w:cs="Times New Roman"/>
          <w:b w:val="0"/>
          <w:i w:val="0"/>
          <w:sz w:val="24"/>
        </w:rPr>
        <w:t>3. Retroalimentación: el resultado de la intervención se registra, retroalimenta al modelo y mejora la precisión de las predicciones en el siguiente ciclo</w:t>
      </w:r>
    </w:p>
    <w:p>
      <w:pPr>
        <w:jc w:val="both"/>
        <w:spacing w:before="0" w:after="160" w:line="360" w:lineRule="auto"/>
      </w:pPr>
      <w:r>
        <w:rPr>
          <w:rFonts w:ascii="Times New Roman" w:hAnsi="Times New Roman" w:cs="Times New Roman"/>
          <w:b w:val="0"/>
          <w:i w:val="0"/>
          <w:sz w:val="24"/>
        </w:rPr>
        <w:t>Este ciclo convierte la predicción estadística en mediación epistémica — transforma data mining en data meaning.</w:t>
      </w:r>
    </w:p>
    <w:p>
      <w:pPr>
        <w:pStyle w:val="Heading2"/>
        <w:jc w:val="left"/>
        <w:spacing w:before="360" w:after="180" w:line="360" w:lineRule="auto"/>
      </w:pPr>
      <w:r>
        <w:rPr>
          <w:rFonts w:ascii="Times New Roman" w:hAnsi="Times New Roman" w:cs="Times New Roman"/>
          <w:b/>
          <w:i w:val="0"/>
          <w:sz w:val="26"/>
        </w:rPr>
        <w:t>1.4 Pregunta de investigación y objetivos</w:t>
      </w:r>
    </w:p>
    <w:p>
      <w:pPr>
        <w:pStyle w:val="Heading3"/>
        <w:jc w:val="left"/>
        <w:spacing w:before="240" w:after="120" w:line="360" w:lineRule="auto"/>
      </w:pPr>
      <w:r>
        <w:rPr>
          <w:rFonts w:ascii="Times New Roman" w:hAnsi="Times New Roman" w:cs="Times New Roman"/>
          <w:b/>
          <w:i w:val="0"/>
          <w:sz w:val="24"/>
        </w:rPr>
        <w:t>Pregunta de investigación</w:t>
      </w:r>
    </w:p>
    <w:p>
      <w:pPr>
        <w:jc w:val="both"/>
        <w:spacing w:before="0" w:after="160" w:line="360" w:lineRule="auto"/>
      </w:pPr>
      <w:r>
        <w:rPr>
          <w:rFonts w:ascii="Times New Roman" w:hAnsi="Times New Roman" w:cs="Times New Roman"/>
          <w:b w:val="0"/>
          <w:i w:val="0"/>
          <w:sz w:val="24"/>
        </w:rPr>
        <w:t>¿Cómo diseñar un Sistema Instrumental Psicotécnico que, a partir de la predicción explicable del abandono escolar, genere ciclos de comprensión-intervención-retroalimentación capaces de transformar el ecosistema educativo en instituciones de educación superior del estado de Querétaro?</w:t>
      </w:r>
    </w:p>
    <w:p>
      <w:pPr>
        <w:pStyle w:val="Heading3"/>
        <w:jc w:val="left"/>
        <w:spacing w:before="240" w:after="120" w:line="360" w:lineRule="auto"/>
      </w:pPr>
      <w:r>
        <w:rPr>
          <w:rFonts w:ascii="Times New Roman" w:hAnsi="Times New Roman" w:cs="Times New Roman"/>
          <w:b/>
          <w:i w:val="0"/>
          <w:sz w:val="24"/>
        </w:rPr>
        <w:t>Objetivo general</w:t>
      </w:r>
    </w:p>
    <w:p>
      <w:pPr>
        <w:jc w:val="both"/>
        <w:spacing w:before="0" w:after="160" w:line="360" w:lineRule="auto"/>
      </w:pPr>
      <w:r>
        <w:rPr>
          <w:rFonts w:ascii="Times New Roman" w:hAnsi="Times New Roman" w:cs="Times New Roman"/>
          <w:b w:val="0"/>
          <w:i w:val="0"/>
          <w:sz w:val="24"/>
        </w:rPr>
        <w:t>Diseñar, implementar y evaluar un Sistema Instrumental Psicotécnico (SIP) que integre un modelo predictivo de Stacking Ensemble con explicabilidad SHAP y variables psicoemocionales, orientado a generar ciclos CIR que transformen las trayectorias de riesgo de deserción en educación superior.</w:t>
      </w:r>
    </w:p>
    <w:p>
      <w:pPr>
        <w:pStyle w:val="Heading3"/>
        <w:jc w:val="left"/>
        <w:spacing w:before="240" w:after="120" w:line="360" w:lineRule="auto"/>
      </w:pPr>
      <w:r>
        <w:rPr>
          <w:rFonts w:ascii="Times New Roman" w:hAnsi="Times New Roman" w:cs="Times New Roman"/>
          <w:b/>
          <w:i w:val="0"/>
          <w:sz w:val="24"/>
        </w:rPr>
        <w:t>Objetivos específicos</w:t>
      </w:r>
    </w:p>
    <w:p>
      <w:pPr>
        <w:ind w:left="567"/>
        <w:jc w:val="both"/>
        <w:spacing w:before="0" w:after="120" w:line="360" w:lineRule="auto"/>
      </w:pPr>
      <w:r>
        <w:rPr>
          <w:rFonts w:ascii="Times New Roman" w:hAnsi="Times New Roman" w:cs="Times New Roman"/>
          <w:b w:val="0"/>
          <w:i w:val="0"/>
          <w:sz w:val="24"/>
        </w:rPr>
        <w:t>1. Cartografiar conceptualmente el SIP como categoría de análisis transdisciplinar para la educación postdigital mediante el método de Tobón (2012)</w:t>
      </w:r>
    </w:p>
    <w:p>
      <w:pPr>
        <w:ind w:left="567"/>
        <w:jc w:val="both"/>
        <w:spacing w:before="0" w:after="120" w:line="360" w:lineRule="auto"/>
      </w:pPr>
      <w:r>
        <w:rPr>
          <w:rFonts w:ascii="Times New Roman" w:hAnsi="Times New Roman" w:cs="Times New Roman"/>
          <w:b w:val="0"/>
          <w:i w:val="0"/>
          <w:sz w:val="24"/>
        </w:rPr>
        <w:t>2. Desarrollar y validar psicométricamente un instrumento de 165 ítems para la medición de variables psicoemocionales asociadas al riesgo de deserción en el contexto universitario mexicano</w:t>
      </w:r>
    </w:p>
    <w:p>
      <w:pPr>
        <w:ind w:left="567"/>
        <w:jc w:val="both"/>
        <w:spacing w:before="0" w:after="120" w:line="360" w:lineRule="auto"/>
      </w:pPr>
      <w:r>
        <w:rPr>
          <w:rFonts w:ascii="Times New Roman" w:hAnsi="Times New Roman" w:cs="Times New Roman"/>
          <w:b w:val="0"/>
          <w:i w:val="0"/>
          <w:sz w:val="24"/>
        </w:rPr>
        <w:t>3. Construir y evaluar un modelo Stacking Ensemble (RF + XGBoost + GB + FNN meta-learner) con validación cruzada k-fold y análisis de equidad por género y nivel socioeconómico</w:t>
      </w:r>
    </w:p>
    <w:p>
      <w:pPr>
        <w:ind w:left="567"/>
        <w:jc w:val="both"/>
        <w:spacing w:before="0" w:after="120" w:line="360" w:lineRule="auto"/>
      </w:pPr>
      <w:r>
        <w:rPr>
          <w:rFonts w:ascii="Times New Roman" w:hAnsi="Times New Roman" w:cs="Times New Roman"/>
          <w:b w:val="0"/>
          <w:i w:val="0"/>
          <w:sz w:val="24"/>
        </w:rPr>
        <w:t>4. Implementar explicabilidad SHAP en dos niveles (modelos base y meta-learner) para generar fichas individuales accionables para orientadores y tutores</w:t>
      </w:r>
    </w:p>
    <w:p>
      <w:pPr>
        <w:ind w:left="567"/>
        <w:jc w:val="both"/>
        <w:spacing w:before="0" w:after="120" w:line="360" w:lineRule="auto"/>
      </w:pPr>
      <w:r>
        <w:rPr>
          <w:rFonts w:ascii="Times New Roman" w:hAnsi="Times New Roman" w:cs="Times New Roman"/>
          <w:b w:val="0"/>
          <w:i w:val="0"/>
          <w:sz w:val="24"/>
        </w:rPr>
        <w:t>5. Diseñar e implementar el ciclo CIR mediante Investigación Basada en Diseño (IBD), evaluando su efecto sobre la comprensión de los stakeholders educativos y las trayectorias de riesgo</w:t>
      </w:r>
    </w:p>
    <w:p>
      <w:pPr>
        <w:pStyle w:val="Heading2"/>
        <w:jc w:val="left"/>
        <w:spacing w:before="360" w:after="180" w:line="360" w:lineRule="auto"/>
      </w:pPr>
      <w:r>
        <w:rPr>
          <w:rFonts w:ascii="Times New Roman" w:hAnsi="Times New Roman" w:cs="Times New Roman"/>
          <w:b/>
          <w:i w:val="0"/>
          <w:sz w:val="26"/>
        </w:rPr>
        <w:t>1.5 Contribuciones originales</w:t>
      </w:r>
    </w:p>
    <w:p>
      <w:pPr>
        <w:jc w:val="both"/>
        <w:spacing w:before="0" w:after="160" w:line="360" w:lineRule="auto"/>
      </w:pPr>
      <w:r>
        <w:rPr>
          <w:rFonts w:ascii="Times New Roman" w:hAnsi="Times New Roman" w:cs="Times New Roman"/>
          <w:b w:val="0"/>
          <w:i w:val="0"/>
          <w:sz w:val="24"/>
        </w:rPr>
        <w:t>Esta investigación realiza cinco contribuciones originales al campo de la tecnología educativa y el aprendizaje automático:</w:t>
      </w:r>
    </w:p>
    <w:p>
      <w:pPr>
        <w:ind w:left="567"/>
        <w:jc w:val="both"/>
        <w:spacing w:before="0" w:after="120" w:line="360" w:lineRule="auto"/>
      </w:pPr>
      <w:r>
        <w:rPr>
          <w:rFonts w:ascii="Times New Roman" w:hAnsi="Times New Roman" w:cs="Times New Roman"/>
          <w:b w:val="0"/>
          <w:i w:val="0"/>
          <w:sz w:val="24"/>
        </w:rPr>
        <w:t>1. El SIP como categoría de análisis transdisciplinar — primera cartografía conceptual sistemática de los sistemas de ML educativo desde la perspectiva instrumental (Rabardel, 1995) y posthumanista (Braidotti, 2019)</w:t>
      </w:r>
    </w:p>
    <w:p>
      <w:pPr>
        <w:ind w:left="567"/>
        <w:jc w:val="both"/>
        <w:spacing w:before="0" w:after="120" w:line="360" w:lineRule="auto"/>
      </w:pPr>
      <w:r>
        <w:rPr>
          <w:rFonts w:ascii="Times New Roman" w:hAnsi="Times New Roman" w:cs="Times New Roman"/>
          <w:b w:val="0"/>
          <w:i w:val="0"/>
          <w:sz w:val="24"/>
        </w:rPr>
        <w:t>2. El ciclo CIR como unidad de diseño — marco operacional que articula predicción, explicabilidad e intervención en un sistema de mediación continua</w:t>
      </w:r>
    </w:p>
    <w:p>
      <w:pPr>
        <w:ind w:left="567"/>
        <w:jc w:val="both"/>
        <w:spacing w:before="0" w:after="120" w:line="360" w:lineRule="auto"/>
      </w:pPr>
      <w:r>
        <w:rPr>
          <w:rFonts w:ascii="Times New Roman" w:hAnsi="Times New Roman" w:cs="Times New Roman"/>
          <w:b w:val="0"/>
          <w:i w:val="0"/>
          <w:sz w:val="24"/>
        </w:rPr>
        <w:t>3. Distinción data mining vs. data meaning — nueva categoría epistemológica que describe el proceso por el cual los patrones estadísticos adquieren sentido pedagógico en la interacción sujeto-sistema</w:t>
      </w:r>
    </w:p>
    <w:p>
      <w:pPr>
        <w:ind w:left="567"/>
        <w:jc w:val="both"/>
        <w:spacing w:before="0" w:after="120" w:line="360" w:lineRule="auto"/>
      </w:pPr>
      <w:r>
        <w:rPr>
          <w:rFonts w:ascii="Times New Roman" w:hAnsi="Times New Roman" w:cs="Times New Roman"/>
          <w:b w:val="0"/>
          <w:i w:val="0"/>
          <w:sz w:val="24"/>
        </w:rPr>
        <w:t>4. Instrumento psicométrico contextualizado — 165 ítems en 6 dimensiones psicoemocionales, diseñado y validado específicamente para educación superior en México</w:t>
      </w:r>
    </w:p>
    <w:p>
      <w:pPr>
        <w:ind w:left="567"/>
        <w:jc w:val="both"/>
        <w:spacing w:before="0" w:after="120" w:line="360" w:lineRule="auto"/>
      </w:pPr>
      <w:r>
        <w:rPr>
          <w:rFonts w:ascii="Times New Roman" w:hAnsi="Times New Roman" w:cs="Times New Roman"/>
          <w:b w:val="0"/>
          <w:i w:val="0"/>
          <w:sz w:val="24"/>
        </w:rPr>
        <w:t>5. Stacked SHAP explanation — aplicación de SHAP en dos niveles del ensamble como interfaz de mediación epistémica para actores educativos no técnicos</w:t>
      </w:r>
    </w:p>
    <w:p>
      <w:r>
        <w:br w:type="page"/>
      </w:r>
    </w:p>
    <w:p>
      <w:pPr>
        <w:pStyle w:val="Heading1"/>
        <w:jc w:val="left"/>
        <w:spacing w:before="480" w:after="240" w:line="360" w:lineRule="auto"/>
      </w:pPr>
      <w:r>
        <w:rPr>
          <w:rFonts w:ascii="Times New Roman" w:hAnsi="Times New Roman" w:cs="Times New Roman"/>
          <w:b/>
          <w:i w:val="0"/>
          <w:sz w:val="28"/>
        </w:rPr>
        <w:t>CAPÍTULO 2. ANTECEDENTES</w:t>
      </w:r>
    </w:p>
    <w:p>
      <w:pPr>
        <w:pStyle w:val="Heading2"/>
        <w:jc w:val="left"/>
        <w:spacing w:before="360" w:after="180" w:line="360" w:lineRule="auto"/>
      </w:pPr>
      <w:r>
        <w:rPr>
          <w:rFonts w:ascii="Times New Roman" w:hAnsi="Times New Roman" w:cs="Times New Roman"/>
          <w:b/>
          <w:i w:val="0"/>
          <w:sz w:val="26"/>
        </w:rPr>
        <w:t>2.1 La Deserción Escolar: Conceptualización y Dimensiones</w:t>
      </w:r>
    </w:p>
    <w:p>
      <w:pPr>
        <w:jc w:val="both"/>
        <w:spacing w:before="0" w:after="160" w:line="360" w:lineRule="auto"/>
      </w:pPr>
      <w:r>
        <w:rPr>
          <w:rFonts w:ascii="Times New Roman" w:hAnsi="Times New Roman" w:cs="Times New Roman"/>
          <w:b w:val="0"/>
          <w:i w:val="0"/>
          <w:sz w:val="24"/>
        </w:rPr>
        <w:t>La deserción escolar es un problema global que afecta a estudiantes en todos los niveles educativos, con impactos que se extienden más allá de las aulas y repercuten en el desarrollo económico y social de las naciones (Berumen et al., 2023). Las razones detrás del abandono escolar son diversas y complejas, y su comprensión requiere un abordaje multidisciplinario que considere tanto los factores institucionales como los individuales, familiares y socioeconómicos. De acuerdo con Sarango et al. (2023), entre las causas más frecuentes se encuentran las deficiencias en los planes de estudio, la desactualización del personal docente, las dificultades familiares y la ausencia de metas vitales claras.</w:t>
      </w:r>
    </w:p>
    <w:p>
      <w:pPr>
        <w:pStyle w:val="Heading3"/>
        <w:jc w:val="left"/>
        <w:spacing w:before="240" w:after="120" w:line="360" w:lineRule="auto"/>
      </w:pPr>
      <w:r>
        <w:rPr>
          <w:rFonts w:ascii="Times New Roman" w:hAnsi="Times New Roman" w:cs="Times New Roman"/>
          <w:b/>
          <w:i w:val="0"/>
          <w:sz w:val="24"/>
        </w:rPr>
        <w:t>2.1.1 Definición y tipología</w:t>
      </w:r>
    </w:p>
    <w:p>
      <w:pPr>
        <w:jc w:val="both"/>
        <w:spacing w:before="0" w:after="160" w:line="360" w:lineRule="auto"/>
      </w:pPr>
      <w:r>
        <w:rPr>
          <w:rFonts w:ascii="Times New Roman" w:hAnsi="Times New Roman" w:cs="Times New Roman"/>
          <w:b w:val="0"/>
          <w:i w:val="0"/>
          <w:sz w:val="24"/>
        </w:rPr>
        <w:t>Definir con precisión el concepto de deserción escolar representa un desafío teórico en sí mismo. Berumen et al. (2023) señalan que varios autores lo han abordado desde perspectivas distintas: Vásquez Velásquez et al. (2003) lo categorizan desde una perspectiva temporal y espacial; el DANE (2016) lo define como la separación del sistema educativo; Lavaros y Gallegos (2005) excluyen de la definición las situaciones por enfermedades u obligaciones legales; Del Castillo (2012) destaca su relación con la renuncia a metas y aspiraciones futuras.</w:t>
      </w:r>
    </w:p>
    <w:p>
      <w:pPr>
        <w:jc w:val="both"/>
        <w:spacing w:before="0" w:after="160" w:line="360" w:lineRule="auto"/>
      </w:pPr>
      <w:r>
        <w:rPr>
          <w:rFonts w:ascii="Times New Roman" w:hAnsi="Times New Roman" w:cs="Times New Roman"/>
          <w:b w:val="0"/>
          <w:i w:val="0"/>
          <w:sz w:val="24"/>
        </w:rPr>
        <w:t>En la presente investigación, la deserción escolar se entiende como la separación definitiva o temporal de un estudiante del sistema educativo formal. Este fenómeno puede analizarse desde una perspectiva temporal (abandono precoz, temprano o tardío) y desde una perspectiva espacial (intra-institucional, inter-institucional o total). La tipología temporal es clave para el diseño del sistema de alerta temprana: permite identificar el momento de mayor vulnerabilidad del estudiante y actuar antes de que la desvinculación se consolide.</w:t>
      </w:r>
    </w:p>
    <w:p>
      <w:pPr>
        <w:pStyle w:val="Heading3"/>
        <w:jc w:val="left"/>
        <w:spacing w:before="240" w:after="120" w:line="360" w:lineRule="auto"/>
      </w:pPr>
      <w:r>
        <w:rPr>
          <w:rFonts w:ascii="Times New Roman" w:hAnsi="Times New Roman" w:cs="Times New Roman"/>
          <w:b/>
          <w:i w:val="0"/>
          <w:sz w:val="24"/>
        </w:rPr>
        <w:t>2.1.2 Dimensión nacional: México y la UAQ</w:t>
      </w:r>
    </w:p>
    <w:p>
      <w:pPr>
        <w:jc w:val="both"/>
        <w:spacing w:before="0" w:after="160" w:line="360" w:lineRule="auto"/>
      </w:pPr>
      <w:r>
        <w:rPr>
          <w:rFonts w:ascii="Times New Roman" w:hAnsi="Times New Roman" w:cs="Times New Roman"/>
          <w:b w:val="0"/>
          <w:i w:val="0"/>
          <w:sz w:val="24"/>
        </w:rPr>
        <w:t>En el contexto mexicano, la dimensión del problema adquiere contornos que justifican la urgencia de la presente investigación. Según datos de la SEP (2023), la tasa de abandono escolar en educación media superior se sitúa en el 30.9%, equivalente a aproximadamente 994,219 estudiantes que abandonan anualmente. El costo social y económico es considerable: el Banco Mundial (2020) estima el impacto acumulado en aproximadamente el 0.4% del PIB nacional.</w:t>
      </w:r>
    </w:p>
    <w:p>
      <w:pPr>
        <w:jc w:val="both"/>
        <w:spacing w:before="0" w:after="160" w:line="360" w:lineRule="auto"/>
      </w:pPr>
      <w:r>
        <w:rPr>
          <w:rFonts w:ascii="Times New Roman" w:hAnsi="Times New Roman" w:cs="Times New Roman"/>
          <w:b w:val="0"/>
          <w:i w:val="0"/>
          <w:sz w:val="24"/>
        </w:rPr>
        <w:t>En el contexto específico de la Universidad Autónoma de Querétaro (UAQ), la Dirección de Tecnología Educativa ha identificado patrones de abandono que combinan factores académicos convencionales con determinantes psicoemocionales que los sistemas de alerta temprana existentes no logran capturar con la especificidad necesaria. Esta limitación constituye el punto de partida operacional de la presente investigación.</w:t>
      </w:r>
    </w:p>
    <w:p>
      <w:pPr>
        <w:pStyle w:val="Heading2"/>
        <w:jc w:val="left"/>
        <w:spacing w:before="360" w:after="180" w:line="360" w:lineRule="auto"/>
      </w:pPr>
      <w:r>
        <w:rPr>
          <w:rFonts w:ascii="Times New Roman" w:hAnsi="Times New Roman" w:cs="Times New Roman"/>
          <w:b/>
          <w:i w:val="0"/>
          <w:sz w:val="26"/>
        </w:rPr>
        <w:t>2.2 Variables Psicoemocionales en la Deserción Escolar</w:t>
      </w:r>
    </w:p>
    <w:p>
      <w:pPr>
        <w:jc w:val="both"/>
        <w:spacing w:before="0" w:after="160" w:line="360" w:lineRule="auto"/>
      </w:pPr>
      <w:r>
        <w:rPr>
          <w:rFonts w:ascii="Times New Roman" w:hAnsi="Times New Roman" w:cs="Times New Roman"/>
          <w:b w:val="0"/>
          <w:i w:val="0"/>
          <w:sz w:val="24"/>
        </w:rPr>
        <w:t>Las variables psicoemocionales —el bienestar emocional, la autoeficacia, el sentido de pertenencia y la salud mental— no son variables secundarias, sino dimensiones estructurales del proceso educativo cuya presencia o ausencia determina significativamente la permanencia del estudiante en el sistema escolar (Llamas, 2024; Narvaes &amp; Consuelo, 2023).</w:t>
      </w:r>
    </w:p>
    <w:p>
      <w:pPr>
        <w:jc w:val="both"/>
        <w:spacing w:before="0" w:after="160" w:line="360" w:lineRule="auto"/>
      </w:pPr>
      <w:r>
        <w:rPr>
          <w:rFonts w:ascii="Times New Roman" w:hAnsi="Times New Roman" w:cs="Times New Roman"/>
          <w:b w:val="0"/>
          <w:i w:val="0"/>
          <w:sz w:val="24"/>
        </w:rPr>
        <w:t>Bulut et al. (2024) documentan que el sentido de pertenencia a la escuela y la autoeficacia son predictores clave del abandono en educación superior, y que la colaboración entre análisis humano y modelos automatizados puede mejorar la identificación de estudiantes en riesgo. De Ridder et al. (2013) realizaron un análisis longitudinal que revela una fuerte asociación entre la salud adolescente y el abandono: la angustia psicológica, las enfermedades somáticas y el estrés se relacionan significativamente con mayor riesgo de deserción.</w:t>
      </w:r>
    </w:p>
    <w:p>
      <w:pPr>
        <w:jc w:val="both"/>
        <w:spacing w:before="0" w:after="160" w:line="360" w:lineRule="auto"/>
      </w:pPr>
      <w:r>
        <w:rPr>
          <w:rFonts w:ascii="Times New Roman" w:hAnsi="Times New Roman" w:cs="Times New Roman"/>
          <w:b w:val="0"/>
          <w:i w:val="0"/>
          <w:sz w:val="24"/>
        </w:rPr>
        <w:t>La integración de variables psicoemocionales en modelos de machine learning mejora notablemente la predicción al capturar factores subjetivos que afectan el rendimiento académico (Maher &amp; Haegele, 2024). Las seis dimensiones que la literatura identifica como predictores significativos del abandono —y que dan sustento al instrumento de 165 ítems— son: bienestar emocional, autopercepción académica, motivación y compromiso, resiliencia académica, relaciones interpersonales, y afiliación institucional.</w:t>
      </w:r>
    </w:p>
    <w:p>
      <w:pPr>
        <w:pStyle w:val="Heading2"/>
        <w:jc w:val="left"/>
        <w:spacing w:before="360" w:after="180" w:line="360" w:lineRule="auto"/>
      </w:pPr>
      <w:r>
        <w:rPr>
          <w:rFonts w:ascii="Times New Roman" w:hAnsi="Times New Roman" w:cs="Times New Roman"/>
          <w:b/>
          <w:i w:val="0"/>
          <w:sz w:val="26"/>
        </w:rPr>
        <w:t>2.3 Machine Learning en la Predicción de la Deserción</w:t>
      </w:r>
    </w:p>
    <w:p>
      <w:pPr>
        <w:jc w:val="both"/>
        <w:spacing w:before="0" w:after="160" w:line="360" w:lineRule="auto"/>
      </w:pPr>
      <w:r>
        <w:rPr>
          <w:rFonts w:ascii="Times New Roman" w:hAnsi="Times New Roman" w:cs="Times New Roman"/>
          <w:b w:val="0"/>
          <w:i w:val="0"/>
          <w:sz w:val="24"/>
        </w:rPr>
        <w:t>El machine learning (ML) constituye una herramienta que mejora la eficiencia al identificar patrones predictivos en datos complejos (Terrón et al., 2023). El uso del ML en la prevención de la deserción estudiantil ha avanzado significativamente, permitiendo a las instituciones detectar patrones y factores de riesgo mediante el análisis de grandes conjuntos de datos (Sanusi et al., 2021).</w:t>
      </w:r>
    </w:p>
    <w:p>
      <w:pPr>
        <w:jc w:val="both"/>
        <w:spacing w:before="0" w:after="160" w:line="360" w:lineRule="auto"/>
      </w:pPr>
      <w:r>
        <w:rPr>
          <w:rFonts w:ascii="Times New Roman" w:hAnsi="Times New Roman" w:cs="Times New Roman"/>
          <w:b w:val="0"/>
          <w:i w:val="0"/>
          <w:sz w:val="24"/>
        </w:rPr>
        <w:t>La literatura sobre ML aplicado a la predicción del abandono escolar puede organizarse en cuatro generaciones: la primera (2000-2010) utilizó regresión logística y árboles de decisión; la segunda (2010-2016) incorporó Random Forest, SVM y ensambles básicos; la tercera (2016-2021) adoptó deep learning de alta precisión pero mínima interpretabilidad; la cuarta (2021-presente) combina XAI y Learning Analytics. La presente investigación se sitúa en esta cuarta generación: combina el stacking ensemble de alta precisión con XAI/SHAP para garantizar explicabilidad, e incorpora variables psicoemocionales como primera contribución al campo en el contexto mexicano.</w:t>
      </w:r>
    </w:p>
    <w:p>
      <w:pPr>
        <w:jc w:val="both"/>
        <w:spacing w:before="0" w:after="160" w:line="360" w:lineRule="auto"/>
      </w:pPr>
      <w:r>
        <w:rPr>
          <w:rFonts w:ascii="Times New Roman" w:hAnsi="Times New Roman" w:cs="Times New Roman"/>
          <w:b w:val="0"/>
          <w:i w:val="0"/>
          <w:sz w:val="24"/>
        </w:rPr>
        <w:t>El estudio de Kemper et al. (2020) —que reportó precisiones hasta del 95% en el KIT— es el antecedente técnico más citado, pero también ilustra la limitación fundamental de los modelos existentes: utiliza exclusivamente variables académicas, sin incorporar ninguna dimensión psicoemocional. Talamás-Carvajal et al. (2023) representan el antecedente más directo, comparando stacking ensemble frente a modelos individuales en universidades mexicanas y obteniendo una mejora de 4.2 puntos porcentuales en AUC-ROC con el ensamble.</w:t>
      </w:r>
    </w:p>
    <w:p>
      <w:pPr>
        <w:pStyle w:val="Heading2"/>
        <w:jc w:val="left"/>
        <w:spacing w:before="360" w:after="180" w:line="360" w:lineRule="auto"/>
      </w:pPr>
      <w:r>
        <w:rPr>
          <w:rFonts w:ascii="Times New Roman" w:hAnsi="Times New Roman" w:cs="Times New Roman"/>
          <w:b/>
          <w:i w:val="0"/>
          <w:sz w:val="26"/>
        </w:rPr>
        <w:t>2.4 Síntesis y Vacío Investigativo</w:t>
      </w:r>
    </w:p>
    <w:p>
      <w:pPr>
        <w:jc w:val="both"/>
        <w:spacing w:before="0" w:after="160" w:line="360" w:lineRule="auto"/>
      </w:pPr>
      <w:r>
        <w:rPr>
          <w:rFonts w:ascii="Times New Roman" w:hAnsi="Times New Roman" w:cs="Times New Roman"/>
          <w:b w:val="0"/>
          <w:i w:val="0"/>
          <w:sz w:val="24"/>
        </w:rPr>
        <w:t>La revisión de los antecedentes identifica tres hallazgos convergentes: (1) la deserción es un fenómeno multicausal que requiere abordajes integrales; (2) las variables psicoemocionales son predictores estructurales, no secundarios, del abandono; (3) los modelos de ML de alta precisión son epistémicamente limitados por operar como cajas negras sin considerar dimensiones subjetivas del bienestar estudiantil.</w:t>
      </w:r>
    </w:p>
    <w:p>
      <w:pPr>
        <w:jc w:val="both"/>
        <w:spacing w:before="0" w:after="160" w:line="360" w:lineRule="auto"/>
      </w:pPr>
      <w:r>
        <w:rPr>
          <w:rFonts w:ascii="Times New Roman" w:hAnsi="Times New Roman" w:cs="Times New Roman"/>
          <w:b w:val="0"/>
          <w:i w:val="0"/>
          <w:sz w:val="24"/>
        </w:rPr>
        <w:t>El vacío investigativo tiene tres dimensiones articuladas: una dimensión psicométrica (ausencia de instrumento validado en el contexto mexicano), una dimensión técnica (ausencia de stacking ensemble con XAI/SHAP y variables psicoemocionales en México), y una dimensión pedagógica (ausencia del marco SIP para diseñar ciclos CIR que transformen la predicción en acción pedagógica).</w:t>
      </w:r>
    </w:p>
    <w:p>
      <w:r>
        <w:br w:type="page"/>
      </w:r>
    </w:p>
    <w:p>
      <w:pPr>
        <w:pStyle w:val="Heading1"/>
        <w:jc w:val="left"/>
        <w:spacing w:before="480" w:after="240" w:line="360" w:lineRule="auto"/>
      </w:pPr>
      <w:r>
        <w:rPr>
          <w:rFonts w:ascii="Times New Roman" w:hAnsi="Times New Roman" w:cs="Times New Roman"/>
          <w:b/>
          <w:i w:val="0"/>
          <w:sz w:val="28"/>
        </w:rPr>
        <w:t>CAPÍTULO 3. MARCO TEÓRICO</w:t>
      </w:r>
    </w:p>
    <w:p>
      <w:pPr>
        <w:pStyle w:val="Heading2"/>
        <w:jc w:val="left"/>
        <w:spacing w:before="360" w:after="180" w:line="360" w:lineRule="auto"/>
      </w:pPr>
      <w:r>
        <w:rPr>
          <w:rFonts w:ascii="Times New Roman" w:hAnsi="Times New Roman" w:cs="Times New Roman"/>
          <w:b/>
          <w:i w:val="0"/>
          <w:sz w:val="26"/>
        </w:rPr>
        <w:t>3.1 Fundamentos filosófico-epistemológicos</w:t>
      </w:r>
    </w:p>
    <w:p>
      <w:pPr>
        <w:jc w:val="both"/>
        <w:spacing w:before="0" w:after="160" w:line="360" w:lineRule="auto"/>
      </w:pPr>
      <w:r>
        <w:rPr>
          <w:rFonts w:ascii="Times New Roman" w:hAnsi="Times New Roman" w:cs="Times New Roman"/>
          <w:b w:val="0"/>
          <w:i w:val="0"/>
          <w:sz w:val="24"/>
        </w:rPr>
        <w:t>La presente investigación adopta una epistemología de la mediación instrumental, fundamentada en los aportes de Pierre Rabardel (1995), enriquecida por la ontología del útil propuesta por Martin Heidegger (1927/2016) y por la teoría de la mediación sociocultural de Lev S. Vygotski (1979). La articulación de estas tres corrientes permite comprender el modelo predictivo basado en machine learning no como una herramienta técnica neutral, sino como un instrumento cognitivo situado que media la construcción del fenómeno estudiado: la deserción escolar desde variables psicoemocionales.</w:t>
      </w:r>
    </w:p>
    <w:p>
      <w:pPr>
        <w:pStyle w:val="Heading3"/>
        <w:jc w:val="left"/>
        <w:spacing w:before="240" w:after="120" w:line="360" w:lineRule="auto"/>
      </w:pPr>
      <w:r>
        <w:rPr>
          <w:rFonts w:ascii="Times New Roman" w:hAnsi="Times New Roman" w:cs="Times New Roman"/>
          <w:b/>
          <w:i w:val="0"/>
          <w:sz w:val="24"/>
        </w:rPr>
        <w:t>3.1.1 La mediación instrumental: Rabardel</w:t>
      </w:r>
    </w:p>
    <w:p>
      <w:pPr>
        <w:jc w:val="both"/>
        <w:spacing w:before="0" w:after="160" w:line="360" w:lineRule="auto"/>
      </w:pPr>
      <w:r>
        <w:rPr>
          <w:rFonts w:ascii="Times New Roman" w:hAnsi="Times New Roman" w:cs="Times New Roman"/>
          <w:b w:val="0"/>
          <w:i w:val="0"/>
          <w:sz w:val="24"/>
        </w:rPr>
        <w:t>Rabardel (1995) establece una distinción conceptual fundamental: la diferencia entre artefacto e instrumento. El artefacto constituye la estructura formal del objeto técnico —los algoritmos de RF, XGBoost, GB y FNN—, mientras que el instrumento es el artefacto en uso, configurado e interpretado por el sujeto dentro de un marco teórico y práctico específico. El conocimiento producido por esta investigación no es descubierto en la realidad educativa sino co-construido en la interacción dinámica entre el investigador, el sistema tecnológico y el contexto institucional (Rabardel &amp; Bourmaud, 2003).</w:t>
      </w:r>
    </w:p>
    <w:p>
      <w:pPr>
        <w:jc w:val="both"/>
        <w:spacing w:before="0" w:after="160" w:line="360" w:lineRule="auto"/>
      </w:pPr>
      <w:r>
        <w:rPr>
          <w:rFonts w:ascii="Times New Roman" w:hAnsi="Times New Roman" w:cs="Times New Roman"/>
          <w:b w:val="0"/>
          <w:i w:val="0"/>
          <w:sz w:val="24"/>
        </w:rPr>
        <w:t>Este proceso se articula a través de la génesis instrumental, compuesta por: instrumentalización (el investigador transforma y adapta el artefacto: selección de variables, ajuste de hiperparámetros, definición de umbrales) e instrumentación (el artefacto transforma al investigador y a la institución: introduce pensamiento probabilístico, reinterpreta el abandono como fenómeno predictivo, reorganiza las intervenciones).</w:t>
      </w:r>
    </w:p>
    <w:p>
      <w:pPr>
        <w:pStyle w:val="Heading3"/>
        <w:jc w:val="left"/>
        <w:spacing w:before="240" w:after="120" w:line="360" w:lineRule="auto"/>
      </w:pPr>
      <w:r>
        <w:rPr>
          <w:rFonts w:ascii="Times New Roman" w:hAnsi="Times New Roman" w:cs="Times New Roman"/>
          <w:b/>
          <w:i w:val="0"/>
          <w:sz w:val="24"/>
        </w:rPr>
        <w:t>3.1.2 La ontología del útil: Heidegger</w:t>
      </w:r>
    </w:p>
    <w:p>
      <w:pPr>
        <w:jc w:val="both"/>
        <w:spacing w:before="0" w:after="160" w:line="360" w:lineRule="auto"/>
      </w:pPr>
      <w:r>
        <w:rPr>
          <w:rFonts w:ascii="Times New Roman" w:hAnsi="Times New Roman" w:cs="Times New Roman"/>
          <w:b w:val="0"/>
          <w:i w:val="0"/>
          <w:sz w:val="24"/>
        </w:rPr>
        <w:t>Heidegger en Ser y tiempo (1927/2016) propone que la relación primaria del ser humano con los objetos no es teórica sino práctica y situacional. El modelo predictivo adquiere sentido dentro de una red que incluye el problema de investigación, las variables psicoemocionales, el marco teórico, la institución educativa y las decisiones de intervención. La distinción heideggeriana entre Zuhandenheit ("a-la-mano") y Vorhandenheit ("ante-los-ojos") sugiere que la validación del modelo no puede limitarse a su revisión técnica, sino que implica una comprensión de su inserción en la práctica educativa situada.</w:t>
      </w:r>
    </w:p>
    <w:p>
      <w:pPr>
        <w:jc w:val="both"/>
        <w:spacing w:before="0" w:after="160" w:line="360" w:lineRule="auto"/>
      </w:pPr>
      <w:r>
        <w:rPr>
          <w:rFonts w:ascii="Times New Roman" w:hAnsi="Times New Roman" w:cs="Times New Roman"/>
          <w:b w:val="0"/>
          <w:i w:val="0"/>
          <w:sz w:val="24"/>
        </w:rPr>
        <w:t>La noción de Gestell —el "dispositivo" como modo moderno de entender la técnica— introduce una advertencia filosófica fundamental: el riesgo de que el modelo predictivo reduzca al estudiante a un "caso de riesgo" cuantificable, despojándolo de su condición de sujeto. En consecuencia, la presente investigación asume la responsabilidad de operar en el polo opuesto: el modelo no pretende reemplazar el juicio pedagógico sino ampliar la capacidad institucional de identificar, comprender e intervenir oportunamente.</w:t>
      </w:r>
    </w:p>
    <w:p>
      <w:pPr>
        <w:pStyle w:val="Heading3"/>
        <w:jc w:val="left"/>
        <w:spacing w:before="240" w:after="120" w:line="360" w:lineRule="auto"/>
      </w:pPr>
      <w:r>
        <w:rPr>
          <w:rFonts w:ascii="Times New Roman" w:hAnsi="Times New Roman" w:cs="Times New Roman"/>
          <w:b/>
          <w:i w:val="0"/>
          <w:sz w:val="24"/>
        </w:rPr>
        <w:t>3.1.3 La mediación sociocultural: Vygotski</w:t>
      </w:r>
    </w:p>
    <w:p>
      <w:pPr>
        <w:jc w:val="both"/>
        <w:spacing w:before="0" w:after="160" w:line="360" w:lineRule="auto"/>
      </w:pPr>
      <w:r>
        <w:rPr>
          <w:rFonts w:ascii="Times New Roman" w:hAnsi="Times New Roman" w:cs="Times New Roman"/>
          <w:b w:val="0"/>
          <w:i w:val="0"/>
          <w:sz w:val="24"/>
        </w:rPr>
        <w:t>Vygotski (1979) propone que toda función psicológica superior está mediada por herramientas psicológicas que transforman cualitativamente la cognición. Los modelos de machine learning pueden concebirse como herramientas psicológicas de segundo orden: no solo procesan datos, sino que median la forma en que la institución educativa concibe, clasifica e interviene sobre el fenómeno del abandono. La zona de desarrollo próximo (ZDP) describe el espacio en que el modelo predictivo amplía la capacidad de acción de los actores educativos: sin el instrumento, el orientador no puede detectar los patrones de riesgo con la oportunidad requerida; con él, puede anticipar trayectorias e intervenir.</w:t>
      </w:r>
    </w:p>
    <w:p>
      <w:pPr>
        <w:pStyle w:val="Heading3"/>
        <w:jc w:val="left"/>
        <w:spacing w:before="240" w:after="120" w:line="360" w:lineRule="auto"/>
      </w:pPr>
      <w:r>
        <w:rPr>
          <w:rFonts w:ascii="Times New Roman" w:hAnsi="Times New Roman" w:cs="Times New Roman"/>
          <w:b/>
          <w:i w:val="0"/>
          <w:sz w:val="24"/>
        </w:rPr>
        <w:t>3.1.4 Síntesis: el Stacking Ensemble como dispositivo epistemotécnico</w:t>
      </w:r>
    </w:p>
    <w:p>
      <w:pPr>
        <w:jc w:val="both"/>
        <w:spacing w:before="0" w:after="160" w:line="360" w:lineRule="auto"/>
      </w:pPr>
      <w:r>
        <w:rPr>
          <w:rFonts w:ascii="Times New Roman" w:hAnsi="Times New Roman" w:cs="Times New Roman"/>
          <w:b w:val="0"/>
          <w:i w:val="0"/>
          <w:sz w:val="24"/>
        </w:rPr>
        <w:t>La articulación de los tres marcos filosófico-epistemológicos permite caracterizar el modelo de Stacking Ensemble como un dispositivo epistemotécnico: un instrumento que no se limita a procesar información sino que media, transforma y co-construye el conocimiento sobre la deserción escolar. Esta síntesis tiene tres implicaciones metodológicas: (1) la validez no puede reducirse a criterios estadísticos; implica coherencia entre el modelo teórico, el diseño instrumental y la interpretación contextualizada; (2) la interpretabilidad es una exigencia epistemológica, no un complemento técnico — de aquí fundamenta el uso de valores SHAP; (3) la génesis instrumental es continua: el ciclo CIR no es un protocolo fijo sino la expresión operacional de esta génesis.</w:t>
      </w:r>
    </w:p>
    <w:p>
      <w:pPr>
        <w:pStyle w:val="Heading2"/>
        <w:jc w:val="left"/>
        <w:spacing w:before="360" w:after="180" w:line="360" w:lineRule="auto"/>
      </w:pPr>
      <w:r>
        <w:rPr>
          <w:rFonts w:ascii="Times New Roman" w:hAnsi="Times New Roman" w:cs="Times New Roman"/>
          <w:b/>
          <w:i w:val="0"/>
          <w:sz w:val="26"/>
        </w:rPr>
        <w:t>3.2 Teoría de la Actividad</w:t>
      </w:r>
    </w:p>
    <w:p>
      <w:pPr>
        <w:jc w:val="both"/>
        <w:spacing w:before="0" w:after="160" w:line="360" w:lineRule="auto"/>
      </w:pPr>
      <w:r>
        <w:rPr>
          <w:rFonts w:ascii="Times New Roman" w:hAnsi="Times New Roman" w:cs="Times New Roman"/>
          <w:b w:val="0"/>
          <w:i w:val="0"/>
          <w:sz w:val="24"/>
        </w:rPr>
        <w:t>La Teoría de la Actividad (AT) constituye el andamiaje conceptual fundamental del SIP, con cuatro generaciones de elaboración teórica.</w:t>
      </w:r>
    </w:p>
    <w:p>
      <w:pPr>
        <w:jc w:val="both"/>
        <w:spacing w:before="0" w:after="160" w:line="360" w:lineRule="auto"/>
      </w:pPr>
      <w:r>
        <w:rPr>
          <w:rFonts w:ascii="Times New Roman" w:hAnsi="Times New Roman" w:cs="Times New Roman"/>
          <w:b w:val="0"/>
          <w:i w:val="0"/>
          <w:sz w:val="24"/>
        </w:rPr>
        <w:t>Vygotsky (1896-1934) estableció la mediación como nodo central: toda actividad psicológica superior está mediada por herramientas y signos culturales. El modelo de ML como artefacto opera inicialmente como herramienta externa; solo al ser apropiado por el sujeto en sus esquemas de utilización deviene signo que transforma la actividad cognitiva del orientador.</w:t>
      </w:r>
    </w:p>
    <w:p>
      <w:pPr>
        <w:jc w:val="both"/>
        <w:spacing w:before="0" w:after="160" w:line="360" w:lineRule="auto"/>
      </w:pPr>
      <w:r>
        <w:rPr>
          <w:rFonts w:ascii="Times New Roman" w:hAnsi="Times New Roman" w:cs="Times New Roman"/>
          <w:b w:val="0"/>
          <w:i w:val="0"/>
          <w:sz w:val="24"/>
        </w:rPr>
        <w:t>Leontiev (1978) estructuró la AT en tres niveles: Actividad (orientada por motivos), Acción (objetivos conscientes) y Operación (condiciones automatizadas). La dinámica entre niveles es crucial para el SIP: cuando el artefacto genera fricción, la operación se eleva a acción consciente activando la génesis instrumental.</w:t>
      </w:r>
    </w:p>
    <w:p>
      <w:pPr>
        <w:jc w:val="both"/>
        <w:spacing w:before="0" w:after="160" w:line="360" w:lineRule="auto"/>
      </w:pPr>
      <w:r>
        <w:rPr>
          <w:rFonts w:ascii="Times New Roman" w:hAnsi="Times New Roman" w:cs="Times New Roman"/>
          <w:b w:val="0"/>
          <w:i w:val="0"/>
          <w:sz w:val="24"/>
        </w:rPr>
        <w:t>Engeström (1987) amplió la unidad de análisis hacia el sistema de actividad colectivo, con su triángulo: sujeto, herramienta y objeto en la cima; comunidad, reglas y división del trabajo en la base. Las contradicciones entre nodos son el motor del cambio: para el SIP en el DTE-UAQ, las contradicciones centrales son entre la herramienta (modelo predictivo) y las reglas institucionales (protocolos no adaptados a la IA).</w:t>
      </w:r>
    </w:p>
    <w:p>
      <w:pPr>
        <w:jc w:val="both"/>
        <w:spacing w:before="0" w:after="160" w:line="360" w:lineRule="auto"/>
      </w:pPr>
      <w:r>
        <w:rPr>
          <w:rFonts w:ascii="Times New Roman" w:hAnsi="Times New Roman" w:cs="Times New Roman"/>
          <w:b w:val="0"/>
          <w:i w:val="0"/>
          <w:sz w:val="24"/>
        </w:rPr>
        <w:t>Kaptelinin (1996) extendió la AT al análisis de la actividad mediada por computadora, introduciendo los órganos funcionales: combinaciones de funciones psicológicas del sujeto con las posibilidades del artefacto que juntas logran lo que ninguno podría por separado. Esta noción fundamenta directamente el SIP: orientador + sistema Atenea AI = órgano funcional de anticipación educativa.</w:t>
      </w:r>
    </w:p>
    <w:p>
      <w:pPr>
        <w:pStyle w:val="Heading2"/>
        <w:jc w:val="left"/>
        <w:spacing w:before="360" w:after="180" w:line="360" w:lineRule="auto"/>
      </w:pPr>
      <w:r>
        <w:rPr>
          <w:rFonts w:ascii="Times New Roman" w:hAnsi="Times New Roman" w:cs="Times New Roman"/>
          <w:b/>
          <w:i w:val="0"/>
          <w:sz w:val="26"/>
        </w:rPr>
        <w:t>3.3 Génesis Instrumental</w:t>
      </w:r>
    </w:p>
    <w:p>
      <w:pPr>
        <w:jc w:val="both"/>
        <w:spacing w:before="0" w:after="160" w:line="360" w:lineRule="auto"/>
      </w:pPr>
      <w:r>
        <w:rPr>
          <w:rFonts w:ascii="Times New Roman" w:hAnsi="Times New Roman" w:cs="Times New Roman"/>
          <w:b w:val="0"/>
          <w:i w:val="0"/>
          <w:sz w:val="24"/>
        </w:rPr>
        <w:t>La piedra angular de la génesis instrumental es la distinción entre artefacto e instrumento: "An artifact only becomes an instrument through the subject's activity. While an instrument is clearly a mediator between the subject and the object, it is also made up of the subject and the artifact" (Béguin &amp; Rabardel, 2000). Esta distinción ontológica tiene consecuencias prácticas: el mismo artefacto técnico —el modelo de stacking ensemble— puede ser un artefacto inerte para una institución que no lo usa, una herramienta de reporte para una que lo usa pasivamente, o un instrumento de mediación para una que ha desarrollado esquemas de utilización en el marco del ciclo CIR.</w:t>
      </w:r>
    </w:p>
    <w:p>
      <w:pPr>
        <w:jc w:val="both"/>
        <w:spacing w:before="0" w:after="160" w:line="360" w:lineRule="auto"/>
      </w:pPr>
      <w:r>
        <w:rPr>
          <w:rFonts w:ascii="Times New Roman" w:hAnsi="Times New Roman" w:cs="Times New Roman"/>
          <w:b w:val="0"/>
          <w:i w:val="0"/>
          <w:sz w:val="24"/>
        </w:rPr>
        <w:t>La génesis instrumental tiene dos dimensiones complementarias: instrumentalización (el sujeto adapta el artefacto a sus propósitos: selección de variables, definición de umbrales, diseño de la interfaz) e instrumentación (el artefacto transforma los esquemas cognitivos del sujeto: introduce pensamiento probabilístico, reorganiza la práctica del orientador). Ambas dimensiones operan simultáneamente.</w:t>
      </w:r>
    </w:p>
    <w:p>
      <w:pPr>
        <w:jc w:val="both"/>
        <w:spacing w:before="0" w:after="160" w:line="360" w:lineRule="auto"/>
      </w:pPr>
      <w:r>
        <w:rPr>
          <w:rFonts w:ascii="Times New Roman" w:hAnsi="Times New Roman" w:cs="Times New Roman"/>
          <w:b w:val="0"/>
          <w:i w:val="0"/>
          <w:sz w:val="24"/>
        </w:rPr>
        <w:t>Béguin y Rabardel (2000) distinguen actividad orientada al objeto (el trabajo del orientador con el estudiante, cuyo objeto es el bienestar del estudiante) de actividad orientada al instrumento (el trabajo del orientador con el sistema Atenea AI, cuyo objeto es el artefacto mismo). El ciclo CIR describe exactamente la articulación entre ambas: la Comprensión es actividad orientada al instrumento; la Intervención es actividad orientada al objeto; la Retroalimentación cierra el ciclo actualizando el instrumento.</w:t>
      </w:r>
    </w:p>
    <w:p>
      <w:pPr>
        <w:pStyle w:val="Heading2"/>
        <w:jc w:val="left"/>
        <w:spacing w:before="360" w:after="180" w:line="360" w:lineRule="auto"/>
      </w:pPr>
      <w:r>
        <w:rPr>
          <w:rFonts w:ascii="Times New Roman" w:hAnsi="Times New Roman" w:cs="Times New Roman"/>
          <w:b/>
          <w:i w:val="0"/>
          <w:sz w:val="26"/>
        </w:rPr>
        <w:t>3.4 Conceptualización de la Deserción Escolar</w:t>
      </w:r>
    </w:p>
    <w:p>
      <w:pPr>
        <w:jc w:val="both"/>
        <w:spacing w:before="0" w:after="160" w:line="360" w:lineRule="auto"/>
      </w:pPr>
      <w:r>
        <w:rPr>
          <w:rFonts w:ascii="Times New Roman" w:hAnsi="Times New Roman" w:cs="Times New Roman"/>
          <w:b w:val="0"/>
          <w:i w:val="0"/>
          <w:sz w:val="24"/>
        </w:rPr>
        <w:t>La deserción escolar ha sido un tema central en la investigación educativa a nivel mundial. Según Sabino y Acuña (2022), implica una decisión personal del estudiante de abandonar el proceso educativo, interrumpiendo la continuidad de la adquisición de conocimientos. Miranda-Medina y González (2021) la conceptualizan como un fenómeno multicausal, donde la interacción de factores escolares, sociales, familiares e individuales contribuye al abandono del sistema educativo.</w:t>
      </w:r>
    </w:p>
    <w:p>
      <w:pPr>
        <w:pStyle w:val="Heading3"/>
        <w:jc w:val="left"/>
        <w:spacing w:before="240" w:after="120" w:line="360" w:lineRule="auto"/>
      </w:pPr>
      <w:r>
        <w:rPr>
          <w:rFonts w:ascii="Times New Roman" w:hAnsi="Times New Roman" w:cs="Times New Roman"/>
          <w:b/>
          <w:i w:val="0"/>
          <w:sz w:val="24"/>
        </w:rPr>
        <w:t>3.4.1 Perspectivas teóricas fundamentales</w:t>
      </w:r>
    </w:p>
    <w:p>
      <w:pPr>
        <w:jc w:val="both"/>
        <w:spacing w:before="0" w:after="160" w:line="360" w:lineRule="auto"/>
      </w:pPr>
      <w:r>
        <w:rPr>
          <w:rFonts w:ascii="Times New Roman" w:hAnsi="Times New Roman" w:cs="Times New Roman"/>
          <w:b w:val="0"/>
          <w:i w:val="0"/>
          <w:sz w:val="24"/>
        </w:rPr>
        <w:t>La teoría del control social de Hirschi (1969) explica que el control social consiste en los mecanismos sociales que inhiben la transgresión de normas. El principio de participación postula que quien ocupa su tiempo en actividades convencionales no encuentra tiempo para actividades transgresoras, lo que se aplica al contexto educativo como factor de retención.</w:t>
      </w:r>
    </w:p>
    <w:p>
      <w:pPr>
        <w:jc w:val="both"/>
        <w:spacing w:before="0" w:after="160" w:line="360" w:lineRule="auto"/>
      </w:pPr>
      <w:r>
        <w:rPr>
          <w:rFonts w:ascii="Times New Roman" w:hAnsi="Times New Roman" w:cs="Times New Roman"/>
          <w:b w:val="0"/>
          <w:i w:val="0"/>
          <w:sz w:val="24"/>
        </w:rPr>
        <w:t>El modelo de integración de Tinto (1987) sostiene que la deserción resulta de la falta de integración académica y social del estudiante. La integración académica se refiere al compromiso con los objetivos educativos; la integración social, a la participación en la vida institucional. La investigación de Cabrera et al. (1992) amplió este modelo al incorporar variables económicas.</w:t>
      </w:r>
    </w:p>
    <w:p>
      <w:pPr>
        <w:jc w:val="both"/>
        <w:spacing w:before="0" w:after="160" w:line="360" w:lineRule="auto"/>
      </w:pPr>
      <w:r>
        <w:rPr>
          <w:rFonts w:ascii="Times New Roman" w:hAnsi="Times New Roman" w:cs="Times New Roman"/>
          <w:b w:val="0"/>
          <w:i w:val="0"/>
          <w:sz w:val="24"/>
        </w:rPr>
        <w:t>El modelo multidimensional de Braxton (2000) integra factores institucionales, académicos, sociales e individuales, reconociendo que la deserción es un proceso que involucra múltiples determinantes interactuando de manera dinámica.</w:t>
      </w:r>
    </w:p>
    <w:p>
      <w:pPr>
        <w:pStyle w:val="Heading3"/>
        <w:jc w:val="left"/>
        <w:spacing w:before="240" w:after="120" w:line="360" w:lineRule="auto"/>
      </w:pPr>
      <w:r>
        <w:rPr>
          <w:rFonts w:ascii="Times New Roman" w:hAnsi="Times New Roman" w:cs="Times New Roman"/>
          <w:b/>
          <w:i w:val="0"/>
          <w:sz w:val="24"/>
        </w:rPr>
        <w:t>3.4.2 El modelo de causalidad compleja: 6 núcleos psicoemocionales</w:t>
      </w:r>
    </w:p>
    <w:p>
      <w:pPr>
        <w:jc w:val="both"/>
        <w:spacing w:before="0" w:after="160" w:line="360" w:lineRule="auto"/>
      </w:pPr>
      <w:r>
        <w:rPr>
          <w:rFonts w:ascii="Times New Roman" w:hAnsi="Times New Roman" w:cs="Times New Roman"/>
          <w:b w:val="0"/>
          <w:i w:val="0"/>
          <w:sz w:val="24"/>
        </w:rPr>
        <w:t>La deserción escolar no resulta de efectos aditivos simples de variables independientes, sino de procesos de retroalimentación positiva (círculos viciosos) y negativa (círculos virtuosos) entre seis núcleos psicoemocionales interrelacionados:</w:t>
      </w:r>
    </w:p>
    <w:p>
      <w:pPr>
        <w:jc w:val="both"/>
        <w:spacing w:before="0" w:after="160" w:line="360" w:lineRule="auto"/>
      </w:pPr>
      <w:r>
        <w:rPr>
          <w:rFonts w:ascii="Times New Roman" w:hAnsi="Times New Roman" w:cs="Times New Roman"/>
          <w:b w:val="0"/>
          <w:i w:val="0"/>
          <w:sz w:val="24"/>
        </w:rPr>
        <w:t>Núcleo 1 — Triada de autopercepción: autoestima, autoconcepto y motivación se interrelacionan como sistema integrado (Pendones Fernández et al., 2021). La autoestima actúa como el núcleo valorativo que influye en el autoconcepto cognitivo, el cual determina las creencias de autoeficacia.</w:t>
      </w:r>
    </w:p>
    <w:p>
      <w:pPr>
        <w:jc w:val="both"/>
        <w:spacing w:before="0" w:after="160" w:line="360" w:lineRule="auto"/>
      </w:pPr>
      <w:r>
        <w:rPr>
          <w:rFonts w:ascii="Times New Roman" w:hAnsi="Times New Roman" w:cs="Times New Roman"/>
          <w:b w:val="0"/>
          <w:i w:val="0"/>
          <w:sz w:val="24"/>
        </w:rPr>
        <w:t>Núcleo 2 — Eje motivacional-volitivo: la motivación intrínseca alimenta el engagement académico (absorción, vigor, dedicación), el cual fortalece la perseverancia ante dificultades. Zumárraga-Espinosa (2023) documenta que la perseverancia actúa como el tipo de respuesta resiliente que influye con más fuerza sobre la calificación promedio de los estudiantes.</w:t>
      </w:r>
    </w:p>
    <w:p>
      <w:pPr>
        <w:jc w:val="both"/>
        <w:spacing w:before="0" w:after="160" w:line="360" w:lineRule="auto"/>
      </w:pPr>
      <w:r>
        <w:rPr>
          <w:rFonts w:ascii="Times New Roman" w:hAnsi="Times New Roman" w:cs="Times New Roman"/>
          <w:b w:val="0"/>
          <w:i w:val="0"/>
          <w:sz w:val="24"/>
        </w:rPr>
        <w:t>Núcleo 3 — Sistema de regulación emocional: el estrés académico crónico, cuando no es regulado adecuadamente, conduce al agotamiento emocional del burnout. Álvarez-Pérez y López-Aguilar (2021) confirman que "cuanto mayor es el agotamiento, el cinismo o la falta de eficacia, mayor será el riesgo de abandono" (p. 667).</w:t>
      </w:r>
    </w:p>
    <w:p>
      <w:pPr>
        <w:jc w:val="both"/>
        <w:spacing w:before="0" w:after="160" w:line="360" w:lineRule="auto"/>
      </w:pPr>
      <w:r>
        <w:rPr>
          <w:rFonts w:ascii="Times New Roman" w:hAnsi="Times New Roman" w:cs="Times New Roman"/>
          <w:b w:val="0"/>
          <w:i w:val="0"/>
          <w:sz w:val="24"/>
        </w:rPr>
        <w:t>Núcleo 4 — Red de apoyo social multidimensional: el apoyo percibido en diferentes contextos (familia, pares, docentes) genera un efecto acumulativo de contención emocional. Ibarra Picos (2019) reporta que siete de cada diez estudiantes abandonantes no recibieron asesoría u orientación durante el proceso de abandono.</w:t>
      </w:r>
    </w:p>
    <w:p>
      <w:pPr>
        <w:jc w:val="both"/>
        <w:spacing w:before="0" w:after="160" w:line="360" w:lineRule="auto"/>
      </w:pPr>
      <w:r>
        <w:rPr>
          <w:rFonts w:ascii="Times New Roman" w:hAnsi="Times New Roman" w:cs="Times New Roman"/>
          <w:b w:val="0"/>
          <w:i w:val="0"/>
          <w:sz w:val="24"/>
        </w:rPr>
        <w:t>Núcleo 5 — Sistema de resiliencia académica: Zumárraga-Espinosa (2023) la define como la capacidad del estudiante para resistir, recuperarse y superar exitosamente eventos académicos adversos. Sus tres dimensiones —perseverancia, reflexión y búsqueda de ayuda, regulación del afecto negativo— operan sinérgicamente.</w:t>
      </w:r>
    </w:p>
    <w:p>
      <w:pPr>
        <w:jc w:val="both"/>
        <w:spacing w:before="0" w:after="160" w:line="360" w:lineRule="auto"/>
      </w:pPr>
      <w:r>
        <w:rPr>
          <w:rFonts w:ascii="Times New Roman" w:hAnsi="Times New Roman" w:cs="Times New Roman"/>
          <w:b w:val="0"/>
          <w:i w:val="0"/>
          <w:sz w:val="24"/>
        </w:rPr>
        <w:t>Núcleo 6 — Afiliación institucional: el sentido de pertenencia institucional se construye a partir de la percepción de un clima escolar favorable y del apoyo institucional efectivo. La desafiliación genera un círculo vicioso de desvinculación que culmina en el abandono.</w:t>
      </w:r>
    </w:p>
    <w:p>
      <w:pPr>
        <w:pStyle w:val="Heading2"/>
        <w:jc w:val="left"/>
        <w:spacing w:before="360" w:after="180" w:line="360" w:lineRule="auto"/>
      </w:pPr>
      <w:r>
        <w:rPr>
          <w:rFonts w:ascii="Times New Roman" w:hAnsi="Times New Roman" w:cs="Times New Roman"/>
          <w:b/>
          <w:i w:val="0"/>
          <w:sz w:val="26"/>
        </w:rPr>
        <w:t>3.5 Variables Psicoemocionales y Modelo Dimensional</w:t>
      </w:r>
    </w:p>
    <w:p>
      <w:pPr>
        <w:jc w:val="both"/>
        <w:spacing w:before="0" w:after="160" w:line="360" w:lineRule="auto"/>
      </w:pPr>
      <w:r>
        <w:rPr>
          <w:rFonts w:ascii="Times New Roman" w:hAnsi="Times New Roman" w:cs="Times New Roman"/>
          <w:b w:val="0"/>
          <w:i w:val="0"/>
          <w:sz w:val="24"/>
        </w:rPr>
        <w:t>A partir del análisis de la literatura, se identificaron seis dimensiones psicoemocionales que dan sustento al instrumento de evaluación de 165 ítems:</w:t>
      </w:r>
    </w:p>
    <w:p>
      <w:pPr>
        <w:jc w:val="both"/>
        <w:spacing w:before="0" w:after="160" w:line="360" w:lineRule="auto"/>
      </w:pPr>
      <w:r>
        <w:rPr>
          <w:rFonts w:ascii="Times New Roman" w:hAnsi="Times New Roman" w:cs="Times New Roman"/>
          <w:b w:val="0"/>
          <w:i w:val="0"/>
          <w:sz w:val="24"/>
        </w:rPr>
        <w:t>Dimensión 1 — Bienestar emocional: salud mental general (ansiedad, depresión, estrés académico), regulación emocional (manejo de emociones negativas, capacidad de recuperación) y burnout académico (agotamiento, cinismo, ineficacia).</w:t>
      </w:r>
    </w:p>
    <w:p>
      <w:pPr>
        <w:jc w:val="both"/>
        <w:spacing w:before="0" w:after="160" w:line="360" w:lineRule="auto"/>
      </w:pPr>
      <w:r>
        <w:rPr>
          <w:rFonts w:ascii="Times New Roman" w:hAnsi="Times New Roman" w:cs="Times New Roman"/>
          <w:b w:val="0"/>
          <w:i w:val="0"/>
          <w:sz w:val="24"/>
        </w:rPr>
        <w:t>Dimensión 2 — Autopercepción y autoconcepto: autoestima académica, autoconcepto multidimensional (físico, personal, social, familiar, moral-ético) y autoeficacia (creencias de competencia, expectativas de logro).</w:t>
      </w:r>
    </w:p>
    <w:p>
      <w:pPr>
        <w:jc w:val="both"/>
        <w:spacing w:before="0" w:after="160" w:line="360" w:lineRule="auto"/>
      </w:pPr>
      <w:r>
        <w:rPr>
          <w:rFonts w:ascii="Times New Roman" w:hAnsi="Times New Roman" w:cs="Times New Roman"/>
          <w:b w:val="0"/>
          <w:i w:val="0"/>
          <w:sz w:val="24"/>
        </w:rPr>
        <w:t>Dimensión 3 — Motivación y compromiso académico: motivación (intrínseca, extrínseca, vocacional), engagement académico (vigor, dedicación, absorción) y proyecto de vida académica.</w:t>
      </w:r>
    </w:p>
    <w:p>
      <w:pPr>
        <w:jc w:val="both"/>
        <w:spacing w:before="0" w:after="160" w:line="360" w:lineRule="auto"/>
      </w:pPr>
      <w:r>
        <w:rPr>
          <w:rFonts w:ascii="Times New Roman" w:hAnsi="Times New Roman" w:cs="Times New Roman"/>
          <w:b w:val="0"/>
          <w:i w:val="0"/>
          <w:sz w:val="24"/>
        </w:rPr>
        <w:t>Dimensión 4 — Resiliencia y afrontamiento: perseverancia, reflexión y búsqueda adaptativa de ayuda, regulación del afecto negativo y respuesta emocional.</w:t>
      </w:r>
    </w:p>
    <w:p>
      <w:pPr>
        <w:jc w:val="both"/>
        <w:spacing w:before="0" w:after="160" w:line="360" w:lineRule="auto"/>
      </w:pPr>
      <w:r>
        <w:rPr>
          <w:rFonts w:ascii="Times New Roman" w:hAnsi="Times New Roman" w:cs="Times New Roman"/>
          <w:b w:val="0"/>
          <w:i w:val="0"/>
          <w:sz w:val="24"/>
        </w:rPr>
        <w:t>Dimensión 5 — Relaciones interpersonales y apoyo social: apoyo familiar, relaciones con pares, relaciones con docentes y apoyo social percibido.</w:t>
      </w:r>
    </w:p>
    <w:p>
      <w:pPr>
        <w:jc w:val="both"/>
        <w:spacing w:before="0" w:after="160" w:line="360" w:lineRule="auto"/>
      </w:pPr>
      <w:r>
        <w:rPr>
          <w:rFonts w:ascii="Times New Roman" w:hAnsi="Times New Roman" w:cs="Times New Roman"/>
          <w:b w:val="0"/>
          <w:i w:val="0"/>
          <w:sz w:val="24"/>
        </w:rPr>
        <w:t>Dimensión 6 — Afiliación y contexto institucional: sentido de pertenencia institucional, clima escolar percibido y apoyo institucional.</w:t>
      </w:r>
    </w:p>
    <w:p>
      <w:pPr>
        <w:pStyle w:val="Heading2"/>
        <w:jc w:val="left"/>
        <w:spacing w:before="360" w:after="180" w:line="360" w:lineRule="auto"/>
      </w:pPr>
      <w:r>
        <w:rPr>
          <w:rFonts w:ascii="Times New Roman" w:hAnsi="Times New Roman" w:cs="Times New Roman"/>
          <w:b/>
          <w:i w:val="0"/>
          <w:sz w:val="26"/>
        </w:rPr>
        <w:t>3.6 Machine Learning Supervisado y Stacking Ensemble</w:t>
      </w:r>
    </w:p>
    <w:p>
      <w:pPr>
        <w:jc w:val="both"/>
        <w:spacing w:before="0" w:after="160" w:line="360" w:lineRule="auto"/>
      </w:pPr>
      <w:r>
        <w:rPr>
          <w:rFonts w:ascii="Times New Roman" w:hAnsi="Times New Roman" w:cs="Times New Roman"/>
          <w:b w:val="0"/>
          <w:i w:val="0"/>
          <w:sz w:val="24"/>
        </w:rPr>
        <w:t>El machine learning supervisado se conceptualiza como una subdisciplina de la IA que desarrolla algoritmos capaces de aprender de datos etiquetados para realizar predicciones sobre nuevos casos (Azeem et al., 2019). En el contexto de la predicción de deserción escolar, los algoritmos supervisados aprenden de un conjunto de casos históricos —estudiantes que permanecieron vs. estudiantes que abandonaron— para identificar los patrones predictivos.</w:t>
      </w:r>
    </w:p>
    <w:p>
      <w:pPr>
        <w:jc w:val="both"/>
        <w:spacing w:before="0" w:after="160" w:line="360" w:lineRule="auto"/>
      </w:pPr>
      <w:r>
        <w:rPr>
          <w:rFonts w:ascii="Times New Roman" w:hAnsi="Times New Roman" w:cs="Times New Roman"/>
          <w:b w:val="0"/>
          <w:i w:val="0"/>
          <w:sz w:val="24"/>
        </w:rPr>
        <w:t>El Stacking Ensemble es una arquitectura que combina múltiples modelos de aprendizaje automático en dos capas. La Capa 1 utiliza tres clasificadores base heterogéneos: Random Forest (RF), que emplea bagging de árboles de decisión para reducir varianza y es robusto ante outliers en datos psicométricos; XGBoost, que emplea boosting secuencial con regularización para reducir sesgo y capturar relaciones no lineales entre dimensiones psicoemocionales; y Gradient Boosting (GB), que complementa a XGBoost con diferente régimen de regularización. La Capa 2 es una Red Neuronal Feedforward (FNN) que actúa como meta-aprendiz, aprendiendo la función de combinación óptima de las predicciones de la Capa 1.</w:t>
      </w:r>
    </w:p>
    <w:p>
      <w:pPr>
        <w:jc w:val="both"/>
        <w:spacing w:before="0" w:after="160" w:line="360" w:lineRule="auto"/>
      </w:pPr>
      <w:r>
        <w:rPr>
          <w:rFonts w:ascii="Times New Roman" w:hAnsi="Times New Roman" w:cs="Times New Roman"/>
          <w:b w:val="0"/>
          <w:i w:val="0"/>
          <w:sz w:val="24"/>
        </w:rPr>
        <w:t>La heterogeneidad algorítmica es funcional: Breiman (1996) demostró que la ganancia del stacking se maximiza cuando los clasificadores base cometen errores en instancias distintas. Cuando RF falla en un perfil psicoemocional complejo, XGBoost o GB suelen recuperarlo.</w:t>
      </w:r>
    </w:p>
    <w:p>
      <w:pPr>
        <w:pStyle w:val="Heading2"/>
        <w:jc w:val="left"/>
        <w:spacing w:before="360" w:after="180" w:line="360" w:lineRule="auto"/>
      </w:pPr>
      <w:r>
        <w:rPr>
          <w:rFonts w:ascii="Times New Roman" w:hAnsi="Times New Roman" w:cs="Times New Roman"/>
          <w:b/>
          <w:i w:val="0"/>
          <w:sz w:val="26"/>
        </w:rPr>
        <w:t>3.7 Inteligencia Artificial Explicable (XAI) y SHAP</w:t>
      </w:r>
    </w:p>
    <w:p>
      <w:pPr>
        <w:jc w:val="both"/>
        <w:spacing w:before="0" w:after="160" w:line="360" w:lineRule="auto"/>
      </w:pPr>
      <w:r>
        <w:rPr>
          <w:rFonts w:ascii="Times New Roman" w:hAnsi="Times New Roman" w:cs="Times New Roman"/>
          <w:b w:val="0"/>
          <w:i w:val="0"/>
          <w:sz w:val="24"/>
        </w:rPr>
        <w:t>La inteligencia artificial explicable (XAI) es el campo que desarrolla técnicas para hacer que los sistemas de ML sean comprensibles para los humanos. El problema central de los modelos de alta precisión como el stacking ensemble es su opacidad: producen predicciones correctas sin revelar por qué las producen. Esta opacidad es inaceptable en contextos educativos donde las predicciones deben orientar intervenciones pedagógicas: el orientador necesita saber qué factores específicos del estudiante están activando la alerta, no solo que existe una alerta.</w:t>
      </w:r>
    </w:p>
    <w:p>
      <w:pPr>
        <w:jc w:val="both"/>
        <w:spacing w:before="0" w:after="160" w:line="360" w:lineRule="auto"/>
      </w:pPr>
      <w:r>
        <w:rPr>
          <w:rFonts w:ascii="Times New Roman" w:hAnsi="Times New Roman" w:cs="Times New Roman"/>
          <w:b w:val="0"/>
          <w:i w:val="0"/>
          <w:sz w:val="24"/>
        </w:rPr>
        <w:t>Los valores SHAP (SHapley Additive exPlanations, Lundberg &amp; Lee, 2017) ofrecen la solución más robusta al problema de la explicabilidad en ensambles complejos. Para cada predicción individual, SHAP calcula la contribución de cada variable a la predicción final, basándose en la teoría de juegos de Shapley. Esto permite dos niveles de interpretación: global (qué variables son más importantes para el modelo en general) y local (qué variables están activando el riesgo para este estudiante específico).</w:t>
      </w:r>
    </w:p>
    <w:p>
      <w:pPr>
        <w:pStyle w:val="Heading2"/>
        <w:jc w:val="left"/>
        <w:spacing w:before="360" w:after="180" w:line="360" w:lineRule="auto"/>
      </w:pPr>
      <w:r>
        <w:rPr>
          <w:rFonts w:ascii="Times New Roman" w:hAnsi="Times New Roman" w:cs="Times New Roman"/>
          <w:b/>
          <w:i w:val="0"/>
          <w:sz w:val="26"/>
        </w:rPr>
        <w:t>3.8 Autoconciencia Ecológica y Educomunicación</w:t>
      </w:r>
    </w:p>
    <w:p>
      <w:pPr>
        <w:jc w:val="both"/>
        <w:spacing w:before="0" w:after="160" w:line="360" w:lineRule="auto"/>
      </w:pPr>
      <w:r>
        <w:rPr>
          <w:rFonts w:ascii="Times New Roman" w:hAnsi="Times New Roman" w:cs="Times New Roman"/>
          <w:b w:val="0"/>
          <w:i w:val="0"/>
          <w:sz w:val="24"/>
        </w:rPr>
        <w:t>La propuesta educomunicativa del investigador —desarrollada en la tesis de maestría (Pardo Pera, 2023)— constituye el antecedente teórico directo del instrumento psicométrico de Atenea AI. El Modelo Ecológico de Autoconciencia postula que la conciencia actúa como interfaz entre el Self y el ambiente en constante evolución, operando en cuatro niveles interrelacionados: Individual-Interior (emociones, cogniciones, autoconcepto, autoestima), Individual-Exterior (conducta, habilidades sociales, acciones), Colectivo-Interior (normas, valores, cultura compartida) y Colectivo-Exterior (estructuras sociales, ambiente, justicia).</w:t>
      </w:r>
    </w:p>
    <w:p>
      <w:pPr>
        <w:jc w:val="both"/>
        <w:spacing w:before="0" w:after="160" w:line="360" w:lineRule="auto"/>
      </w:pPr>
      <w:r>
        <w:rPr>
          <w:rFonts w:ascii="Times New Roman" w:hAnsi="Times New Roman" w:cs="Times New Roman"/>
          <w:b w:val="0"/>
          <w:i w:val="0"/>
          <w:sz w:val="24"/>
        </w:rPr>
        <w:t>Este modelo tiene una correspondencia directa con las seis dimensiones del instrumento psicométrico de Atenea AI: las dimensiones de bienestar emocional y autopercepción corresponden al Nivel Individual-Interior; las dimensiones de motivación y relaciones interpersonales al Nivel Individual-Exterior y Colectivo-Interior; la dimensión de afiliación institucional al Nivel Colectivo-Exterior.</w:t>
      </w:r>
    </w:p>
    <w:p>
      <w:pPr>
        <w:jc w:val="both"/>
        <w:spacing w:before="0" w:after="160" w:line="360" w:lineRule="auto"/>
      </w:pPr>
      <w:r>
        <w:rPr>
          <w:rFonts w:ascii="Times New Roman" w:hAnsi="Times New Roman" w:cs="Times New Roman"/>
          <w:b w:val="0"/>
          <w:i w:val="0"/>
          <w:sz w:val="24"/>
        </w:rPr>
        <w:t>La educomunicación —campo transdisciplinar que conecta comunicación y educación (Kaplún, 1987; Freire, 1970)— aporta la estructura del Ciclo CIR. El ciclo comprensión-intervención-retroalimentación es estructuralmente isomorfo al modelo transformador de educación: el orientador no transmite información (modelo bancario) sino que dialoga, problematiza e interviene (modelo transformador), y el resultado de la intervención retroalimenta tanto el sistema como la práctica pedagógica (modelo ecológico).</w:t>
      </w:r>
    </w:p>
    <w:p>
      <w:pPr>
        <w:pStyle w:val="Heading2"/>
        <w:jc w:val="left"/>
        <w:spacing w:before="360" w:after="180" w:line="360" w:lineRule="auto"/>
      </w:pPr>
      <w:r>
        <w:rPr>
          <w:rFonts w:ascii="Times New Roman" w:hAnsi="Times New Roman" w:cs="Times New Roman"/>
          <w:b/>
          <w:i w:val="0"/>
          <w:sz w:val="26"/>
        </w:rPr>
        <w:t>3.9 Investigación Basada en Diseño (IBD)</w:t>
      </w:r>
    </w:p>
    <w:p>
      <w:pPr>
        <w:jc w:val="both"/>
        <w:spacing w:before="0" w:after="160" w:line="360" w:lineRule="auto"/>
      </w:pPr>
      <w:r>
        <w:rPr>
          <w:rFonts w:ascii="Times New Roman" w:hAnsi="Times New Roman" w:cs="Times New Roman"/>
          <w:b w:val="0"/>
          <w:i w:val="0"/>
          <w:sz w:val="24"/>
        </w:rPr>
        <w:t>La Investigación Basada en Diseño (IBD) es una metodología de investigación que integra el diseño de artefactos o sistemas con la investigación de los principios que subyacen a ese diseño (McKenney &amp; Reeves, 2018). Se caracteriza por cinco rasgos: es iterativa (ciclos sucesivos de diseño, implementación, evaluación y rediseño); es colaborativa (investigadores y practicantes trabajan juntos); está orientada a solucionar problemas reales; genera tanto artefactos como principios de diseño transferibles; y toma lugar en contextos educativos naturales, no en laboratorios controlados.</w:t>
      </w:r>
    </w:p>
    <w:p>
      <w:pPr>
        <w:jc w:val="both"/>
        <w:spacing w:before="0" w:after="160" w:line="360" w:lineRule="auto"/>
      </w:pPr>
      <w:r>
        <w:rPr>
          <w:rFonts w:ascii="Times New Roman" w:hAnsi="Times New Roman" w:cs="Times New Roman"/>
          <w:b w:val="0"/>
          <w:i w:val="0"/>
          <w:sz w:val="24"/>
        </w:rPr>
        <w:t>La IBD es el marco apropiado para el SIP porque ambos comparten el supuesto de que el conocimiento y el artefacto se co-producen en la práctica mediante iteraciones humano-sistema. El ciclo CIR es la expresión operacional de la IBD empotrada en el sistema.</w:t>
      </w:r>
    </w:p>
    <w:p>
      <w:pPr>
        <w:pStyle w:val="Heading2"/>
        <w:jc w:val="left"/>
        <w:spacing w:before="360" w:after="180" w:line="360" w:lineRule="auto"/>
      </w:pPr>
      <w:r>
        <w:rPr>
          <w:rFonts w:ascii="Times New Roman" w:hAnsi="Times New Roman" w:cs="Times New Roman"/>
          <w:b/>
          <w:i w:val="0"/>
          <w:sz w:val="26"/>
        </w:rPr>
        <w:t>3.10 Ética de la IA en la Educación</w:t>
      </w:r>
    </w:p>
    <w:p>
      <w:pPr>
        <w:jc w:val="both"/>
        <w:spacing w:before="0" w:after="160" w:line="360" w:lineRule="auto"/>
      </w:pPr>
      <w:r>
        <w:rPr>
          <w:rFonts w:ascii="Times New Roman" w:hAnsi="Times New Roman" w:cs="Times New Roman"/>
          <w:b w:val="0"/>
          <w:i w:val="0"/>
          <w:sz w:val="24"/>
        </w:rPr>
        <w:t>La aplicación de IA en educación implica cuatro principios éticos fundamentales: privacidad y protección de datos, transparencia y explicabilidad, equidad y no discriminación, y responsabilidad humana sobre la decisión final. La explicabilidad SHAP implementada en el sistema Atenea AI no es solo una mejora técnica: es el mecanismo que garantiza el principio de transparencia y que preserva la responsabilidad del orientador como agente decisor. El sistema genera orientaciones, no dictamina sentencias. Las predicciones son invitaciones a la comprensión, no etiquetas deterministas.</w:t>
      </w:r>
    </w:p>
    <w:p>
      <w:r>
        <w:br w:type="page"/>
      </w:r>
    </w:p>
    <w:p>
      <w:pPr>
        <w:pStyle w:val="Heading1"/>
        <w:jc w:val="left"/>
        <w:spacing w:before="480" w:after="240" w:line="360" w:lineRule="auto"/>
      </w:pPr>
      <w:r>
        <w:rPr>
          <w:rFonts w:ascii="Times New Roman" w:hAnsi="Times New Roman" w:cs="Times New Roman"/>
          <w:b/>
          <w:i w:val="0"/>
          <w:sz w:val="28"/>
        </w:rPr>
        <w:t>CAPÍTULO 4. SIP: CARTOGRAFÍA CONCEPTUAL</w:t>
      </w:r>
    </w:p>
    <w:p>
      <w:pPr>
        <w:pStyle w:val="Heading2"/>
        <w:jc w:val="left"/>
        <w:spacing w:before="360" w:after="180" w:line="360" w:lineRule="auto"/>
      </w:pPr>
      <w:r>
        <w:rPr>
          <w:rFonts w:ascii="Times New Roman" w:hAnsi="Times New Roman" w:cs="Times New Roman"/>
          <w:b/>
          <w:i w:val="0"/>
          <w:sz w:val="26"/>
        </w:rPr>
        <w:t>4.0 Introducción del capítulo</w:t>
      </w:r>
    </w:p>
    <w:p>
      <w:pPr>
        <w:jc w:val="both"/>
        <w:spacing w:before="0" w:after="160" w:line="360" w:lineRule="auto"/>
      </w:pPr>
      <w:r>
        <w:rPr>
          <w:rFonts w:ascii="Times New Roman" w:hAnsi="Times New Roman" w:cs="Times New Roman"/>
          <w:b w:val="0"/>
          <w:i w:val="0"/>
          <w:sz w:val="24"/>
        </w:rPr>
        <w:t>La incorporación amplia y transversal de tecnología digital en la vida cotidiana ha reconfigurado la subjetividad humana, generando la necesidad de nuevas líneas de pensamiento que permitan no solo comprender los fenómenos sociodigitales, sino reconfigurarlos en función de las necesidades humanas (Peters &amp; Jandrić, 2019). Desde el posthumanismo crítico, Braidotti (2019) conceptualiza estos fenómenos como procesos de distribución co-construida entre humanos y sistemas técnicos, cuestionando las concepciones que entienden la subjetividad como una entidad puramente individual e interna.</w:t>
      </w:r>
    </w:p>
    <w:p>
      <w:pPr>
        <w:jc w:val="both"/>
        <w:spacing w:before="0" w:after="160" w:line="360" w:lineRule="auto"/>
      </w:pPr>
      <w:r>
        <w:rPr>
          <w:rFonts w:ascii="Times New Roman" w:hAnsi="Times New Roman" w:cs="Times New Roman"/>
          <w:b w:val="0"/>
          <w:i w:val="0"/>
          <w:sz w:val="24"/>
        </w:rPr>
        <w:t>La educación postdigital no ha logrado generar categorías de análisis capaces de nombrar cómo estos sistemas participan activamente en los procesos educativos (Escudero-Nahón, 2021). Ante esta limitación epistemológica, la presente investigación propone el concepto de Sistema Instrumental Psicotécnico (SIP) como categoría de análisis transdisciplinar. El objetivo de este capítulo es cartografiar el concepto a través del método de cartografía conceptual (Tobón, 2012) en sus ocho ejes de análisis: noción, categorización, caracterización, diferenciación, clasificación, vinculación, metodología y ejemplificación.</w:t>
      </w:r>
    </w:p>
    <w:p>
      <w:pPr>
        <w:pStyle w:val="Heading2"/>
        <w:jc w:val="left"/>
        <w:spacing w:before="360" w:after="180" w:line="360" w:lineRule="auto"/>
      </w:pPr>
      <w:r>
        <w:rPr>
          <w:rFonts w:ascii="Times New Roman" w:hAnsi="Times New Roman" w:cs="Times New Roman"/>
          <w:b/>
          <w:i w:val="0"/>
          <w:sz w:val="26"/>
        </w:rPr>
        <w:t>4.1 Noción</w:t>
      </w:r>
    </w:p>
    <w:p>
      <w:pPr>
        <w:jc w:val="both"/>
        <w:spacing w:before="0" w:after="160" w:line="360" w:lineRule="auto"/>
      </w:pPr>
      <w:r>
        <w:rPr>
          <w:rFonts w:ascii="Times New Roman" w:hAnsi="Times New Roman" w:cs="Times New Roman"/>
          <w:b w:val="0"/>
          <w:i w:val="0"/>
          <w:sz w:val="24"/>
        </w:rPr>
        <w:t>La noción del SIP remite a la convergencia entre psicología y técnica rastreable hasta los trabajos fundacionales de la psicotecnia soviética. Vygotsky (1930/1985) fue el primero en sistematizar el intento de unir la psicología con el análisis del uso de herramientas, estableciendo que el trabajo y el uso de instrumentos no solo modifican la naturaleza —el objeto del trabajo— sino al propio ser humano que es el agente del cambio. La Teoría de la Actividad emerge como el desarrollo sistemático que enfatiza el carácter activo del procesamiento cognitivo, entendiendo los entornos histórico-culturales como configuradores de la conciencia humana.</w:t>
      </w:r>
    </w:p>
    <w:p>
      <w:pPr>
        <w:jc w:val="both"/>
        <w:spacing w:before="0" w:after="160" w:line="360" w:lineRule="auto"/>
      </w:pPr>
      <w:r>
        <w:rPr>
          <w:rFonts w:ascii="Times New Roman" w:hAnsi="Times New Roman" w:cs="Times New Roman"/>
          <w:b w:val="0"/>
          <w:i w:val="0"/>
          <w:sz w:val="24"/>
        </w:rPr>
        <w:t>Para Béguin y Rabardel (2000), un artefacto solo se convierte en instrumento a través de la actividad del sujeto: mientras el instrumento media entre el sujeto y el objeto, está a su vez constituido por ambos. Esta distinción ontológica es la premisa conceptual fundamental del SIP.</w:t>
      </w:r>
    </w:p>
    <w:p>
      <w:pPr>
        <w:pStyle w:val="Heading2"/>
        <w:jc w:val="left"/>
        <w:spacing w:before="360" w:after="180" w:line="360" w:lineRule="auto"/>
      </w:pPr>
      <w:r>
        <w:rPr>
          <w:rFonts w:ascii="Times New Roman" w:hAnsi="Times New Roman" w:cs="Times New Roman"/>
          <w:b/>
          <w:i w:val="0"/>
          <w:sz w:val="26"/>
        </w:rPr>
        <w:t>4.2 Categorización</w:t>
      </w:r>
    </w:p>
    <w:p>
      <w:pPr>
        <w:jc w:val="both"/>
        <w:spacing w:before="0" w:after="160" w:line="360" w:lineRule="auto"/>
      </w:pPr>
      <w:r>
        <w:rPr>
          <w:rFonts w:ascii="Times New Roman" w:hAnsi="Times New Roman" w:cs="Times New Roman"/>
          <w:b w:val="0"/>
          <w:i w:val="0"/>
          <w:sz w:val="24"/>
        </w:rPr>
        <w:t>El SIP se ubica dentro del campo transdisciplinar de la tecnología educativa postdigital, en la intersección de la ergonomía cognitiva (Rabardel, 1995), la Teoría de la Actividad (Engeström, 1987) y el posthumanismo crítico (Braidotti, 2019). Se distingue de los sistemas de IA educativa convencionales en que: (1) incorpora explícitamente la dimensión psicotécnica —el sistema como configurador de la actividad psicológica del sujeto—; (2) está diseñado para la génesis instrumental, no para la ejecución autónoma; (3) incluye el ciclo CIR como mecanismo de retroalimentación constitutivo, no añadido.</w:t>
      </w:r>
    </w:p>
    <w:p>
      <w:pPr>
        <w:pStyle w:val="Heading2"/>
        <w:jc w:val="left"/>
        <w:spacing w:before="360" w:after="180" w:line="360" w:lineRule="auto"/>
      </w:pPr>
      <w:r>
        <w:rPr>
          <w:rFonts w:ascii="Times New Roman" w:hAnsi="Times New Roman" w:cs="Times New Roman"/>
          <w:b/>
          <w:i w:val="0"/>
          <w:sz w:val="26"/>
        </w:rPr>
        <w:t>4.3 Caracterización</w:t>
      </w:r>
    </w:p>
    <w:p>
      <w:pPr>
        <w:jc w:val="both"/>
        <w:spacing w:before="0" w:after="160" w:line="360" w:lineRule="auto"/>
      </w:pPr>
      <w:r>
        <w:rPr>
          <w:rFonts w:ascii="Times New Roman" w:hAnsi="Times New Roman" w:cs="Times New Roman"/>
          <w:b w:val="0"/>
          <w:i w:val="0"/>
          <w:sz w:val="24"/>
        </w:rPr>
        <w:t>El SIP se caracteriza por seis rasgos distintivos:</w:t>
      </w:r>
    </w:p>
    <w:p>
      <w:pPr>
        <w:ind w:left="567"/>
        <w:jc w:val="both"/>
        <w:spacing w:before="0" w:after="120" w:line="360" w:lineRule="auto"/>
      </w:pPr>
      <w:r>
        <w:rPr>
          <w:rFonts w:ascii="Times New Roman" w:hAnsi="Times New Roman" w:cs="Times New Roman"/>
          <w:b w:val="0"/>
          <w:i w:val="0"/>
          <w:sz w:val="24"/>
        </w:rPr>
        <w:t>1. Triple mediación: el SIP actúa simultáneamente como mediación epistémica (ayuda a comprender), heurística (orienta la búsqueda y la acción) y pragmática (transforma el entorno a través de la retroalimentación)</w:t>
      </w:r>
    </w:p>
    <w:p>
      <w:pPr>
        <w:ind w:left="567"/>
        <w:jc w:val="both"/>
        <w:spacing w:before="0" w:after="120" w:line="360" w:lineRule="auto"/>
      </w:pPr>
      <w:r>
        <w:rPr>
          <w:rFonts w:ascii="Times New Roman" w:hAnsi="Times New Roman" w:cs="Times New Roman"/>
          <w:b w:val="0"/>
          <w:i w:val="0"/>
          <w:sz w:val="24"/>
        </w:rPr>
        <w:t>2. Génesis instrumental continua: el artefacto no es un producto terminado sino un instrumento en permanente transformación</w:t>
      </w:r>
    </w:p>
    <w:p>
      <w:pPr>
        <w:ind w:left="567"/>
        <w:jc w:val="both"/>
        <w:spacing w:before="0" w:after="120" w:line="360" w:lineRule="auto"/>
      </w:pPr>
      <w:r>
        <w:rPr>
          <w:rFonts w:ascii="Times New Roman" w:hAnsi="Times New Roman" w:cs="Times New Roman"/>
          <w:b w:val="0"/>
          <w:i w:val="0"/>
          <w:sz w:val="24"/>
        </w:rPr>
        <w:t>3. Feed-forward como mecanismo central: el SIP anticipa trayectorias futuras, no registra el pasado</w:t>
      </w:r>
    </w:p>
    <w:p>
      <w:pPr>
        <w:ind w:left="567"/>
        <w:jc w:val="both"/>
        <w:spacing w:before="0" w:after="120" w:line="360" w:lineRule="auto"/>
      </w:pPr>
      <w:r>
        <w:rPr>
          <w:rFonts w:ascii="Times New Roman" w:hAnsi="Times New Roman" w:cs="Times New Roman"/>
          <w:b w:val="0"/>
          <w:i w:val="0"/>
          <w:sz w:val="24"/>
        </w:rPr>
        <w:t>4. Explicabilidad como condición de posibilidad: sin SHAP no hay mediación epistémica; sin mediación epistémica no hay CIR</w:t>
      </w:r>
    </w:p>
    <w:p>
      <w:pPr>
        <w:ind w:left="567"/>
        <w:jc w:val="both"/>
        <w:spacing w:before="0" w:after="120" w:line="360" w:lineRule="auto"/>
      </w:pPr>
      <w:r>
        <w:rPr>
          <w:rFonts w:ascii="Times New Roman" w:hAnsi="Times New Roman" w:cs="Times New Roman"/>
          <w:b w:val="0"/>
          <w:i w:val="0"/>
          <w:sz w:val="24"/>
        </w:rPr>
        <w:t>5. Potentia sobre potestas: el SIP empodera a los sujetos en lugar de administrarlos algorítmicamente</w:t>
      </w:r>
    </w:p>
    <w:p>
      <w:pPr>
        <w:ind w:left="567"/>
        <w:jc w:val="both"/>
        <w:spacing w:before="0" w:after="120" w:line="360" w:lineRule="auto"/>
      </w:pPr>
      <w:r>
        <w:rPr>
          <w:rFonts w:ascii="Times New Roman" w:hAnsi="Times New Roman" w:cs="Times New Roman"/>
          <w:b w:val="0"/>
          <w:i w:val="0"/>
          <w:sz w:val="24"/>
        </w:rPr>
        <w:t>6. Transdisciplinariedad estructural: el SIP no puede ser comprendido desde una sola disciplina</w:t>
      </w:r>
    </w:p>
    <w:p>
      <w:pPr>
        <w:pStyle w:val="Heading2"/>
        <w:jc w:val="left"/>
        <w:spacing w:before="360" w:after="180" w:line="360" w:lineRule="auto"/>
      </w:pPr>
      <w:r>
        <w:rPr>
          <w:rFonts w:ascii="Times New Roman" w:hAnsi="Times New Roman" w:cs="Times New Roman"/>
          <w:b/>
          <w:i w:val="0"/>
          <w:sz w:val="26"/>
        </w:rPr>
        <w:t>4.4 Diferenciación</w:t>
      </w:r>
    </w:p>
    <w:p>
      <w:pPr>
        <w:jc w:val="both"/>
        <w:spacing w:before="0" w:after="160" w:line="360" w:lineRule="auto"/>
      </w:pPr>
      <w:r>
        <w:rPr>
          <w:rFonts w:ascii="Times New Roman" w:hAnsi="Times New Roman" w:cs="Times New Roman"/>
          <w:b w:val="0"/>
          <w:i w:val="0"/>
          <w:sz w:val="24"/>
        </w:rPr>
        <w:t>El SIP se diferencia de cuatro categorías conceptuales adyacentes:</w:t>
      </w:r>
    </w:p>
    <w:p>
      <w:pPr>
        <w:jc w:val="both"/>
        <w:spacing w:before="0" w:after="160" w:line="360" w:lineRule="auto"/>
      </w:pPr>
      <w:r>
        <w:rPr>
          <w:rFonts w:ascii="Times New Roman" w:hAnsi="Times New Roman" w:cs="Times New Roman"/>
          <w:b w:val="0"/>
          <w:i w:val="0"/>
          <w:sz w:val="24"/>
        </w:rPr>
        <w:t>De los sistemas de aprendizaje adaptativo (adaptive learning systems): estos ajustan el contenido pedagógico automáticamente sin intervención humana; el SIP requiere la mediación del orientador como condición de funcionamiento.</w:t>
      </w:r>
    </w:p>
    <w:p>
      <w:pPr>
        <w:jc w:val="both"/>
        <w:spacing w:before="0" w:after="160" w:line="360" w:lineRule="auto"/>
      </w:pPr>
      <w:r>
        <w:rPr>
          <w:rFonts w:ascii="Times New Roman" w:hAnsi="Times New Roman" w:cs="Times New Roman"/>
          <w:b w:val="0"/>
          <w:i w:val="0"/>
          <w:sz w:val="24"/>
        </w:rPr>
        <w:t>De los sistemas de alerta temprana (early warning systems, EWS): los EWS identifican el riesgo pero no generan ciclos de retroalimentación; el SIP transforma la alerta en ciclo CIR completo.</w:t>
      </w:r>
    </w:p>
    <w:p>
      <w:pPr>
        <w:jc w:val="both"/>
        <w:spacing w:before="0" w:after="160" w:line="360" w:lineRule="auto"/>
      </w:pPr>
      <w:r>
        <w:rPr>
          <w:rFonts w:ascii="Times New Roman" w:hAnsi="Times New Roman" w:cs="Times New Roman"/>
          <w:b w:val="0"/>
          <w:i w:val="0"/>
          <w:sz w:val="24"/>
        </w:rPr>
        <w:t>De los sistemas de IA explicable (XAI systems): los sistemas XAI garantizan interpretabilidad técnica; el SIP garantiza significación pedagógica —la diferencia entre saber qué variable importa y saber qué significa pedagógicamente para este estudiante.</w:t>
      </w:r>
    </w:p>
    <w:p>
      <w:pPr>
        <w:jc w:val="both"/>
        <w:spacing w:before="0" w:after="160" w:line="360" w:lineRule="auto"/>
      </w:pPr>
      <w:r>
        <w:rPr>
          <w:rFonts w:ascii="Times New Roman" w:hAnsi="Times New Roman" w:cs="Times New Roman"/>
          <w:b w:val="0"/>
          <w:i w:val="0"/>
          <w:sz w:val="24"/>
        </w:rPr>
        <w:t>De los Learning Management Systems (LMS): los LMS gestionan el proceso de enseñanza-aprendizaje; el SIP interviene en la actividad psicotécnica que ocurre en los márgenes del proceso formal.</w:t>
      </w:r>
    </w:p>
    <w:p>
      <w:pPr>
        <w:pStyle w:val="Heading2"/>
        <w:jc w:val="left"/>
        <w:spacing w:before="360" w:after="180" w:line="360" w:lineRule="auto"/>
      </w:pPr>
      <w:r>
        <w:rPr>
          <w:rFonts w:ascii="Times New Roman" w:hAnsi="Times New Roman" w:cs="Times New Roman"/>
          <w:b/>
          <w:i w:val="0"/>
          <w:sz w:val="26"/>
        </w:rPr>
        <w:t>4.5 Clasificación</w:t>
      </w:r>
    </w:p>
    <w:p>
      <w:pPr>
        <w:jc w:val="both"/>
        <w:spacing w:before="0" w:after="160" w:line="360" w:lineRule="auto"/>
      </w:pPr>
      <w:r>
        <w:rPr>
          <w:rFonts w:ascii="Times New Roman" w:hAnsi="Times New Roman" w:cs="Times New Roman"/>
          <w:b w:val="0"/>
          <w:i w:val="0"/>
          <w:sz w:val="24"/>
        </w:rPr>
        <w:t>Los SIPs pueden clasificarse según: (1) Dominio de aplicación: educativo, clínico, laboral, forense; (2) Nivel de génesis instrumental: artefacto (sin esquemas de utilización), herramienta (esquemas básicos), instrumento (esquemas de utilización desarrollados), SIP (instrumento + ciclo CIR + génesis continua); (3) Nivel de mediación: epistémica (comprensión), heurística (orientación), pragmática (transformación); (4) Alcance temporal: sincrónico (respuesta inmediata), longitudinal (seguimiento de trayectorias).</w:t>
      </w:r>
    </w:p>
    <w:p>
      <w:pPr>
        <w:jc w:val="both"/>
        <w:spacing w:before="0" w:after="160" w:line="360" w:lineRule="auto"/>
      </w:pPr>
      <w:r>
        <w:rPr>
          <w:rFonts w:ascii="Times New Roman" w:hAnsi="Times New Roman" w:cs="Times New Roman"/>
          <w:b w:val="0"/>
          <w:i w:val="0"/>
          <w:sz w:val="24"/>
        </w:rPr>
        <w:t>Atenea AI es un SIP de dominio educativo, nivel de génesis instrumental pleno, con triple mediación y alcance longitudinal.</w:t>
      </w:r>
    </w:p>
    <w:p>
      <w:pPr>
        <w:pStyle w:val="Heading2"/>
        <w:jc w:val="left"/>
        <w:spacing w:before="360" w:after="180" w:line="360" w:lineRule="auto"/>
      </w:pPr>
      <w:r>
        <w:rPr>
          <w:rFonts w:ascii="Times New Roman" w:hAnsi="Times New Roman" w:cs="Times New Roman"/>
          <w:b/>
          <w:i w:val="0"/>
          <w:sz w:val="26"/>
        </w:rPr>
        <w:t>4.6 Vinculación</w:t>
      </w:r>
    </w:p>
    <w:p>
      <w:pPr>
        <w:jc w:val="both"/>
        <w:spacing w:before="0" w:after="160" w:line="360" w:lineRule="auto"/>
      </w:pPr>
      <w:r>
        <w:rPr>
          <w:rFonts w:ascii="Times New Roman" w:hAnsi="Times New Roman" w:cs="Times New Roman"/>
          <w:b w:val="0"/>
          <w:i w:val="0"/>
          <w:sz w:val="24"/>
        </w:rPr>
        <w:t>El SIP articula cuatro tradiciones teóricas:</w:t>
      </w:r>
    </w:p>
    <w:p>
      <w:pPr>
        <w:jc w:val="both"/>
        <w:spacing w:before="0" w:after="160" w:line="360" w:lineRule="auto"/>
      </w:pPr>
      <w:r>
        <w:rPr>
          <w:rFonts w:ascii="Times New Roman" w:hAnsi="Times New Roman" w:cs="Times New Roman"/>
          <w:b w:val="0"/>
          <w:i w:val="0"/>
          <w:sz w:val="24"/>
        </w:rPr>
        <w:t>Con la Teoría de la Actividad: el SIP es el artefacto mediador dentro del sistema de actividad del orientador; las contradicciones entre sus nodos son el motor de la génesis instrumental.</w:t>
      </w:r>
    </w:p>
    <w:p>
      <w:pPr>
        <w:jc w:val="both"/>
        <w:spacing w:before="0" w:after="160" w:line="360" w:lineRule="auto"/>
      </w:pPr>
      <w:r>
        <w:rPr>
          <w:rFonts w:ascii="Times New Roman" w:hAnsi="Times New Roman" w:cs="Times New Roman"/>
          <w:b w:val="0"/>
          <w:i w:val="0"/>
          <w:sz w:val="24"/>
        </w:rPr>
        <w:t>Con el posthumanismo crítico (Braidotti, 2019): el SIP opera desde la potentia —el poder generativo del sujeto— y no desde la potestas —el poder de control algorítmico.</w:t>
      </w:r>
    </w:p>
    <w:p>
      <w:pPr>
        <w:jc w:val="both"/>
        <w:spacing w:before="0" w:after="160" w:line="360" w:lineRule="auto"/>
      </w:pPr>
      <w:r>
        <w:rPr>
          <w:rFonts w:ascii="Times New Roman" w:hAnsi="Times New Roman" w:cs="Times New Roman"/>
          <w:b w:val="0"/>
          <w:i w:val="0"/>
          <w:sz w:val="24"/>
        </w:rPr>
        <w:t>Con la Investigación Basada en Diseño: el SIP no puede ser validado en laboratorio; requiere la IBD como paradigma de co-producción en contextos reales.</w:t>
      </w:r>
    </w:p>
    <w:p>
      <w:pPr>
        <w:jc w:val="both"/>
        <w:spacing w:before="0" w:after="160" w:line="360" w:lineRule="auto"/>
      </w:pPr>
      <w:r>
        <w:rPr>
          <w:rFonts w:ascii="Times New Roman" w:hAnsi="Times New Roman" w:cs="Times New Roman"/>
          <w:b w:val="0"/>
          <w:i w:val="0"/>
          <w:sz w:val="24"/>
        </w:rPr>
        <w:t>Con la educación postdigital: el SIP es un dispositivo característico de la condición postdigital, donde la distinción entre herramienta y sujeto, entre digital y físico, entre predicción e intervención, se difumina en la práctica educativa.</w:t>
      </w:r>
    </w:p>
    <w:p>
      <w:pPr>
        <w:pStyle w:val="Heading2"/>
        <w:jc w:val="left"/>
        <w:spacing w:before="360" w:after="180" w:line="360" w:lineRule="auto"/>
      </w:pPr>
      <w:r>
        <w:rPr>
          <w:rFonts w:ascii="Times New Roman" w:hAnsi="Times New Roman" w:cs="Times New Roman"/>
          <w:b/>
          <w:i w:val="0"/>
          <w:sz w:val="26"/>
        </w:rPr>
        <w:t>4.7 Metodología para el diseño de SIPs</w:t>
      </w:r>
    </w:p>
    <w:p>
      <w:pPr>
        <w:jc w:val="both"/>
        <w:spacing w:before="0" w:after="160" w:line="360" w:lineRule="auto"/>
      </w:pPr>
      <w:r>
        <w:rPr>
          <w:rFonts w:ascii="Times New Roman" w:hAnsi="Times New Roman" w:cs="Times New Roman"/>
          <w:b w:val="0"/>
          <w:i w:val="0"/>
          <w:sz w:val="24"/>
        </w:rPr>
        <w:t>El diseño de un SIP requiere un proceso de cuatro fases: (1) Diseño conceptual (definición del sistema de actividad, identificación de contradicciones, especificación de mediaciones); (2) Diseño técnico (arquitectura del artefacto computacional, diseño de la interfaz de mediación, protocolo del ciclo CIR); (3) Implementación piloto (despliegue en contexto real, generación de datos de génesis instrumental); (4) Refinamiento iterativo (análisis de los esquemas de utilización emergentes, ajuste del artefacto y del protocolo CIR).</w:t>
      </w:r>
    </w:p>
    <w:p>
      <w:pPr>
        <w:pStyle w:val="Heading2"/>
        <w:jc w:val="left"/>
        <w:spacing w:before="360" w:after="180" w:line="360" w:lineRule="auto"/>
      </w:pPr>
      <w:r>
        <w:rPr>
          <w:rFonts w:ascii="Times New Roman" w:hAnsi="Times New Roman" w:cs="Times New Roman"/>
          <w:b/>
          <w:i w:val="0"/>
          <w:sz w:val="26"/>
        </w:rPr>
        <w:t>4.8 Ejemplificación: Atenea AI como instancia del SIP</w:t>
      </w:r>
    </w:p>
    <w:p>
      <w:pPr>
        <w:jc w:val="both"/>
        <w:spacing w:before="0" w:after="160" w:line="360" w:lineRule="auto"/>
      </w:pPr>
      <w:r>
        <w:rPr>
          <w:rFonts w:ascii="Times New Roman" w:hAnsi="Times New Roman" w:cs="Times New Roman"/>
          <w:b w:val="0"/>
          <w:i w:val="0"/>
          <w:sz w:val="24"/>
        </w:rPr>
        <w:t>El sistema Atenea AI es la primera instancia documentada del SIP en un contexto educativo de educación superior mexicana. Sus componentes corresponden directamente a los elementos del SIP: el artefacto computacional es el stacking ensemble (RF + XGBoost + GB + FNN); los esquemas de utilización son los protocolos de lectura de la Ficha Atenea AI por los orientadores; la mediación epistémica es provista por los valores SHAP; el ciclo CIR es el mecanismo de retroalimentación que transforma el artefacto en instrumento; y la génesis instrumental es el proceso documentado a través de las dos capas IBD del diseño.</w:t>
      </w:r>
    </w:p>
    <w:p>
      <w:r>
        <w:br w:type="page"/>
      </w:r>
    </w:p>
    <w:p>
      <w:pPr>
        <w:pStyle w:val="Heading1"/>
        <w:jc w:val="left"/>
        <w:spacing w:before="480" w:after="240" w:line="360" w:lineRule="auto"/>
      </w:pPr>
      <w:r>
        <w:rPr>
          <w:rFonts w:ascii="Times New Roman" w:hAnsi="Times New Roman" w:cs="Times New Roman"/>
          <w:b/>
          <w:i w:val="0"/>
          <w:sz w:val="28"/>
        </w:rPr>
        <w:t>CAPÍTULO 5. METODOLOGÍA</w:t>
      </w:r>
    </w:p>
    <w:p>
      <w:pPr>
        <w:pStyle w:val="Heading2"/>
        <w:jc w:val="left"/>
        <w:spacing w:before="360" w:after="180" w:line="360" w:lineRule="auto"/>
      </w:pPr>
      <w:r>
        <w:rPr>
          <w:rFonts w:ascii="Times New Roman" w:hAnsi="Times New Roman" w:cs="Times New Roman"/>
          <w:b/>
          <w:i w:val="0"/>
          <w:sz w:val="26"/>
        </w:rPr>
        <w:t>5.1 Paradigma y enfoque general</w:t>
      </w:r>
    </w:p>
    <w:p>
      <w:pPr>
        <w:jc w:val="both"/>
        <w:spacing w:before="0" w:after="160" w:line="360" w:lineRule="auto"/>
      </w:pPr>
      <w:r>
        <w:rPr>
          <w:rFonts w:ascii="Times New Roman" w:hAnsi="Times New Roman" w:cs="Times New Roman"/>
          <w:b w:val="0"/>
          <w:i w:val="0"/>
          <w:sz w:val="24"/>
        </w:rPr>
        <w:t>La presente investigación adopta la Investigación Basada en Diseño (IBD) como marco metodológico general, en consonancia con la naturaleza ontológica del SIP. La IBD es el marco apropiado para el SIP porque ambos comparten el supuesto de que el conocimiento y el artefacto se co-producen en la práctica mediante iteraciones humano-sistema. Un paradigma experimental clásico no podría capturar la génesis instrumental que hace al artefacto devenir instrumento (Béguin &amp; Rabardel, 2000; McKenney &amp; Reeves, 2018).</w:t>
      </w:r>
    </w:p>
    <w:p>
      <w:pPr>
        <w:jc w:val="both"/>
        <w:spacing w:before="0" w:after="160" w:line="360" w:lineRule="auto"/>
      </w:pPr>
      <w:r>
        <w:rPr>
          <w:rFonts w:ascii="Times New Roman" w:hAnsi="Times New Roman" w:cs="Times New Roman"/>
          <w:b w:val="0"/>
          <w:i w:val="0"/>
          <w:sz w:val="24"/>
        </w:rPr>
        <w:t>La investigación adopta un enfoque mixto: el diseño y validación del instrumento psicométrico (Fase 1) y la construcción del modelo Stacking Ensemble (Fase 2) son predominantemente cuantitativos; el diseño del ciclo CIR (Fase 4) incorpora una dimensión cualitativa mediante la observación de la génesis instrumental emergente.</w:t>
      </w:r>
    </w:p>
    <w:p>
      <w:pPr>
        <w:pStyle w:val="Heading2"/>
        <w:jc w:val="left"/>
        <w:spacing w:before="360" w:after="180" w:line="360" w:lineRule="auto"/>
      </w:pPr>
      <w:r>
        <w:rPr>
          <w:rFonts w:ascii="Times New Roman" w:hAnsi="Times New Roman" w:cs="Times New Roman"/>
          <w:b/>
          <w:i w:val="0"/>
          <w:sz w:val="26"/>
        </w:rPr>
        <w:t>5.2 Contexto y participantes</w:t>
      </w:r>
    </w:p>
    <w:p>
      <w:pPr>
        <w:jc w:val="both"/>
        <w:spacing w:before="0" w:after="160" w:line="360" w:lineRule="auto"/>
      </w:pPr>
      <w:r>
        <w:rPr>
          <w:rFonts w:ascii="Times New Roman" w:hAnsi="Times New Roman" w:cs="Times New Roman"/>
          <w:b w:val="0"/>
          <w:i w:val="0"/>
          <w:sz w:val="24"/>
        </w:rPr>
        <w:t>La investigación se desarrolla en la Universidad Autónoma de Querétaro (UAQ). La unidad de análisis es el estudiante universitario en condición de riesgo de deserción, definido operacionalmente como aquel que presenta dos o más indicadores: baja carga académica, historial de reprobación, solicitud de baja temporal, o puntuaciones por debajo de la media institucional en alguna dimensión del instrumento psicoemocional.</w:t>
      </w:r>
    </w:p>
    <w:p>
      <w:pPr>
        <w:jc w:val="both"/>
        <w:spacing w:before="0" w:after="160" w:line="360" w:lineRule="auto"/>
      </w:pPr>
      <w:r>
        <w:rPr>
          <w:rFonts w:ascii="Times New Roman" w:hAnsi="Times New Roman" w:cs="Times New Roman"/>
          <w:b w:val="0"/>
          <w:i w:val="0"/>
          <w:sz w:val="24"/>
        </w:rPr>
        <w:t>Muestra objetivo: n = 400 estudiantes, distribuidos proporcionalmente entre cinco áreas disciplinarias (Ciencias Naturales, Ciencias Sociales, Ingeniería y Tecnología, Humanidades, Ciencias de la Salud).</w:t>
      </w:r>
    </w:p>
    <w:p>
      <w:pPr>
        <w:pStyle w:val="Heading2"/>
        <w:jc w:val="left"/>
        <w:spacing w:before="360" w:after="180" w:line="360" w:lineRule="auto"/>
      </w:pPr>
      <w:r>
        <w:rPr>
          <w:rFonts w:ascii="Times New Roman" w:hAnsi="Times New Roman" w:cs="Times New Roman"/>
          <w:b/>
          <w:i w:val="0"/>
          <w:sz w:val="26"/>
        </w:rPr>
        <w:t>5.3 Fases de la IBD</w:t>
      </w:r>
    </w:p>
    <w:p>
      <w:pPr>
        <w:pStyle w:val="Heading3"/>
        <w:jc w:val="left"/>
        <w:spacing w:before="240" w:after="120" w:line="360" w:lineRule="auto"/>
      </w:pPr>
      <w:r>
        <w:rPr>
          <w:rFonts w:ascii="Times New Roman" w:hAnsi="Times New Roman" w:cs="Times New Roman"/>
          <w:b/>
          <w:i w:val="0"/>
          <w:sz w:val="24"/>
        </w:rPr>
        <w:t>5.3.1 Fase 1 — Diseño y validación del instrumento psicométrico</w:t>
      </w:r>
    </w:p>
    <w:p>
      <w:pPr>
        <w:jc w:val="both"/>
        <w:spacing w:before="0" w:after="160" w:line="360" w:lineRule="auto"/>
      </w:pPr>
      <w:r>
        <w:rPr>
          <w:rFonts w:ascii="Times New Roman" w:hAnsi="Times New Roman" w:cs="Times New Roman"/>
          <w:b w:val="0"/>
          <w:i w:val="0"/>
          <w:sz w:val="24"/>
        </w:rPr>
        <w:t>La construcción del instrumento de 165 ítems siguió el proceso propuesto por Boateng et al. (2018): definición conceptual de las seis dimensiones, generación de aproximadamente 28 ítems por dimensión, revisión por panel de jueces expertos (cálculo del Índice de Validez de Contenido, eliminación de ítems con IVC &lt; 0.78), aplicación piloto con n = 30-50 estudiantes, y depuración final. La validez de constructo se evaluará mediante Análisis Factorial Confirmatorio (AFC) con el software LISREL o lavaan (R), esperando indicadores de ajuste CFI &gt;= 0.95, TLI &gt;= 0.95, RMSEA &lt;= 0.06 y SRMR &lt;= 0.08.</w:t>
      </w:r>
    </w:p>
    <w:p>
      <w:pPr>
        <w:pStyle w:val="Heading3"/>
        <w:jc w:val="left"/>
        <w:spacing w:before="240" w:after="120" w:line="360" w:lineRule="auto"/>
      </w:pPr>
      <w:r>
        <w:rPr>
          <w:rFonts w:ascii="Times New Roman" w:hAnsi="Times New Roman" w:cs="Times New Roman"/>
          <w:b/>
          <w:i w:val="0"/>
          <w:sz w:val="24"/>
        </w:rPr>
        <w:t>5.3.2 Fase 2 — Construcción y evaluación del modelo Stacking Ensemble</w:t>
      </w:r>
    </w:p>
    <w:p>
      <w:pPr>
        <w:jc w:val="both"/>
        <w:spacing w:before="0" w:after="160" w:line="360" w:lineRule="auto"/>
      </w:pPr>
      <w:r>
        <w:rPr>
          <w:rFonts w:ascii="Times New Roman" w:hAnsi="Times New Roman" w:cs="Times New Roman"/>
          <w:b w:val="0"/>
          <w:i w:val="0"/>
          <w:sz w:val="24"/>
        </w:rPr>
        <w:t>La arquitectura de stacking implementa: Capa 1 con RF (n_estimators=100, criterion=gini), XGBoost (eta=0.1, max_depth=6) y GB (n_estimators=100, learning_rate=0.1); Capa 2 con FNN (Input(9) → Dense(64) → Dropout(0.3) → Dense(32) → Dense(3), activación softmax). Para garantizar que la matriz de meta-características contenga exclusivamente predicciones fuera de muestra, se implementa validación cruzada k-fold con k=10. La métrica principal de evaluación es el AUC-ROC, con análisis complementario de Sensitivity, Specificity, F1-Score y análisis de equidad por subgrupo (género, nivel socioeconómico).</w:t>
      </w:r>
    </w:p>
    <w:p>
      <w:pPr>
        <w:pStyle w:val="Heading3"/>
        <w:jc w:val="left"/>
        <w:spacing w:before="240" w:after="120" w:line="360" w:lineRule="auto"/>
      </w:pPr>
      <w:r>
        <w:rPr>
          <w:rFonts w:ascii="Times New Roman" w:hAnsi="Times New Roman" w:cs="Times New Roman"/>
          <w:b/>
          <w:i w:val="0"/>
          <w:sz w:val="24"/>
        </w:rPr>
        <w:t>5.3.3 Fase 3 — Implementación SHAP en dos niveles</w:t>
      </w:r>
    </w:p>
    <w:p>
      <w:pPr>
        <w:jc w:val="both"/>
        <w:spacing w:before="0" w:after="160" w:line="360" w:lineRule="auto"/>
      </w:pPr>
      <w:r>
        <w:rPr>
          <w:rFonts w:ascii="Times New Roman" w:hAnsi="Times New Roman" w:cs="Times New Roman"/>
          <w:b w:val="0"/>
          <w:i w:val="0"/>
          <w:sz w:val="24"/>
        </w:rPr>
        <w:t>Los valores SHAP se calculan en dos momentos del stacking: a nivel de modelos base (SHAP individual de RF, XGBoost y GB) y a nivel del meta-aprendiz FNN (SHAP del output final). La salida de la Fase 3 es la Ficha Atenea AI: un documento de cinco secciones para cada estudiante — score de riesgo con nivel (alto/medio/bajo), perfil de uso de redes sociales (A/B/C), dimensiones críticas según SHAP, patrón temporal (si existen puntos múltiples de tiempo), y recomendación de intervención según protocolo.</w:t>
      </w:r>
    </w:p>
    <w:p>
      <w:pPr>
        <w:pStyle w:val="Heading3"/>
        <w:jc w:val="left"/>
        <w:spacing w:before="240" w:after="120" w:line="360" w:lineRule="auto"/>
      </w:pPr>
      <w:r>
        <w:rPr>
          <w:rFonts w:ascii="Times New Roman" w:hAnsi="Times New Roman" w:cs="Times New Roman"/>
          <w:b/>
          <w:i w:val="0"/>
          <w:sz w:val="24"/>
        </w:rPr>
        <w:t>5.3.4 Fase 4 — Diseño e implementación del ciclo CIR</w:t>
      </w:r>
    </w:p>
    <w:p>
      <w:pPr>
        <w:jc w:val="both"/>
        <w:spacing w:before="0" w:after="160" w:line="360" w:lineRule="auto"/>
      </w:pPr>
      <w:r>
        <w:rPr>
          <w:rFonts w:ascii="Times New Roman" w:hAnsi="Times New Roman" w:cs="Times New Roman"/>
          <w:b w:val="0"/>
          <w:i w:val="0"/>
          <w:sz w:val="24"/>
        </w:rPr>
        <w:t>El ciclo CIR se implementa en tres etapas: Comprensión (el orientador recibe la Ficha Atenea AI y la interpreta con apoyo del sistema de visualización SHAP), Intervención (el orientador ejecuta el protocolo de intervención según el nivel de riesgo: contacto en 48h para riesgo alto, seguimiento semanal para riesgo medio, monitoreo mensual para riesgo bajo), y Retroalimentación (el orientador registra el resultado de la intervención en el sistema, actualizando el perfil del estudiante y retroalimentando al modelo).</w:t>
      </w:r>
    </w:p>
    <w:p>
      <w:pPr>
        <w:pStyle w:val="Heading2"/>
        <w:jc w:val="left"/>
        <w:spacing w:before="360" w:after="180" w:line="360" w:lineRule="auto"/>
      </w:pPr>
      <w:r>
        <w:rPr>
          <w:rFonts w:ascii="Times New Roman" w:hAnsi="Times New Roman" w:cs="Times New Roman"/>
          <w:b/>
          <w:i w:val="0"/>
          <w:sz w:val="26"/>
        </w:rPr>
        <w:t>5.4 Consideraciones éticas</w:t>
      </w:r>
    </w:p>
    <w:p>
      <w:pPr>
        <w:jc w:val="both"/>
        <w:spacing w:before="0" w:after="160" w:line="360" w:lineRule="auto"/>
      </w:pPr>
      <w:r>
        <w:rPr>
          <w:rFonts w:ascii="Times New Roman" w:hAnsi="Times New Roman" w:cs="Times New Roman"/>
          <w:b w:val="0"/>
          <w:i w:val="0"/>
          <w:sz w:val="24"/>
        </w:rPr>
        <w:t>El proyecto cuenta con aprobación del Comité de Ética de la UAQ. Los datos de los estudiantes se manejan bajo protocolos de anonimización y consentimiento informado. El modelo no toma decisiones autónomas: genera orientaciones para el juicio del orientador. Los resultados no se utilizarán con fines punitivos o discriminatorios.</w:t>
      </w:r>
    </w:p>
    <w:p>
      <w:pPr>
        <w:pStyle w:val="Heading2"/>
        <w:jc w:val="left"/>
        <w:spacing w:before="360" w:after="180" w:line="360" w:lineRule="auto"/>
      </w:pPr>
      <w:r>
        <w:rPr>
          <w:rFonts w:ascii="Times New Roman" w:hAnsi="Times New Roman" w:cs="Times New Roman"/>
          <w:b/>
          <w:i w:val="0"/>
          <w:sz w:val="26"/>
        </w:rPr>
        <w:t>5.5 Instrumentos</w:t>
      </w:r>
    </w:p>
    <w:p>
      <w:pPr>
        <w:jc w:val="both"/>
        <w:spacing w:before="0" w:after="160" w:line="360" w:lineRule="auto"/>
      </w:pPr>
      <w:r>
        <w:rPr>
          <w:rFonts w:ascii="Times New Roman" w:hAnsi="Times New Roman" w:cs="Times New Roman"/>
          <w:b w:val="0"/>
          <w:i w:val="0"/>
          <w:sz w:val="24"/>
        </w:rPr>
        <w:t>El instrumento psicométrico de 165 ítems se aplica en formato digital. Adicionalmente, se utiliza el Cuestionario de Salud SF-12 para evaluar el bienestar psicológico general. Las variables académicas y demográficas se obtienen del Sistema Integral de Información Académica (SIIA) de la UAQ.</w:t>
      </w:r>
    </w:p>
    <w:p>
      <w:pPr>
        <w:pStyle w:val="Heading2"/>
        <w:jc w:val="left"/>
        <w:spacing w:before="360" w:after="180" w:line="360" w:lineRule="auto"/>
      </w:pPr>
      <w:r>
        <w:rPr>
          <w:rFonts w:ascii="Times New Roman" w:hAnsi="Times New Roman" w:cs="Times New Roman"/>
          <w:b/>
          <w:i w:val="0"/>
          <w:sz w:val="26"/>
        </w:rPr>
        <w:t>5.6 Análisis de datos</w:t>
      </w:r>
    </w:p>
    <w:p>
      <w:pPr>
        <w:jc w:val="both"/>
        <w:spacing w:before="0" w:after="160" w:line="360" w:lineRule="auto"/>
      </w:pPr>
      <w:r>
        <w:rPr>
          <w:rFonts w:ascii="Times New Roman" w:hAnsi="Times New Roman" w:cs="Times New Roman"/>
          <w:b w:val="0"/>
          <w:i w:val="0"/>
          <w:sz w:val="24"/>
        </w:rPr>
        <w:t>Para la variable dependiente, se utilizará un umbral de clasificación basado en la probabilidad P(abandono): alto (&gt;= 0.70), medio (0.40-0.69), bajo (&lt; 0.40). Para el balance de clases, se aplica SMOTE (Synthetic Minority Over-sampling Technique). La presentación de resultados incluye: curva ROC con AUC, matriz de confusión, análisis de sensibilidad, summary plots y force plots SHAP, y análisis de subgrupos para equidad.</w:t>
      </w:r>
    </w:p>
    <w:p>
      <w:pPr>
        <w:pStyle w:val="Heading2"/>
        <w:jc w:val="left"/>
        <w:spacing w:before="360" w:after="180" w:line="360" w:lineRule="auto"/>
      </w:pPr>
      <w:r>
        <w:rPr>
          <w:rFonts w:ascii="Times New Roman" w:hAnsi="Times New Roman" w:cs="Times New Roman"/>
          <w:b/>
          <w:i w:val="0"/>
          <w:sz w:val="26"/>
        </w:rPr>
        <w:t>5.7 Limitaciones del diseño</w:t>
      </w:r>
    </w:p>
    <w:p>
      <w:pPr>
        <w:jc w:val="both"/>
        <w:spacing w:before="0" w:after="160" w:line="360" w:lineRule="auto"/>
      </w:pPr>
      <w:r>
        <w:rPr>
          <w:rFonts w:ascii="Times New Roman" w:hAnsi="Times New Roman" w:cs="Times New Roman"/>
          <w:b w:val="0"/>
          <w:i w:val="0"/>
          <w:sz w:val="24"/>
        </w:rPr>
        <w:t>Las limitaciones del diseño incluyen: (1) disponibilidad de la variable dependiente —en el piloto se usa K-means como proxy; la validación con variable real (abandono sí/no) requiere seguimiento longitudinal de 2+ semestres; (2) tamaño muestral del piloto (N=33 completos en el instrumento de RS)—requiere ampliación antes del análisis confirmatorio; (3) transferibilidad —los resultados son pertinentes para el contexto UAQ-Querétaro y requieren adaptación para otros contextos institucionales.</w:t>
      </w:r>
    </w:p>
    <w:p>
      <w:pPr>
        <w:pStyle w:val="Heading2"/>
        <w:jc w:val="left"/>
        <w:spacing w:before="360" w:after="180" w:line="360" w:lineRule="auto"/>
      </w:pPr>
      <w:r>
        <w:rPr>
          <w:rFonts w:ascii="Times New Roman" w:hAnsi="Times New Roman" w:cs="Times New Roman"/>
          <w:b/>
          <w:i w:val="0"/>
          <w:sz w:val="26"/>
        </w:rPr>
        <w:t>5.8 Posicionalidad del investigador: doble excepcionalidad y mediación cognitiva instrumental</w:t>
      </w:r>
    </w:p>
    <w:p>
      <w:pPr>
        <w:pStyle w:val="Heading3"/>
        <w:jc w:val="left"/>
        <w:spacing w:before="240" w:after="120" w:line="360" w:lineRule="auto"/>
      </w:pPr>
      <w:r>
        <w:rPr>
          <w:rFonts w:ascii="Times New Roman" w:hAnsi="Times New Roman" w:cs="Times New Roman"/>
          <w:b/>
          <w:i w:val="0"/>
          <w:sz w:val="24"/>
        </w:rPr>
        <w:t>5.8.1 Declaración de posicionalidad</w:t>
      </w:r>
    </w:p>
    <w:p>
      <w:pPr>
        <w:jc w:val="both"/>
        <w:spacing w:before="0" w:after="160" w:line="360" w:lineRule="auto"/>
      </w:pPr>
      <w:r>
        <w:rPr>
          <w:rFonts w:ascii="Times New Roman" w:hAnsi="Times New Roman" w:cs="Times New Roman"/>
          <w:b w:val="0"/>
          <w:i w:val="0"/>
          <w:sz w:val="24"/>
        </w:rPr>
        <w:t>La investigación en ciencias sociales y educativas reconoce la necesidad de explicitar la posición del investigador respecto de su objeto de estudio (Creswell &amp; Poth, 2018). En el caso del presente proyecto doctoral, esta explicitación adquiere una dimensión adicional que trasciende la reflexividad metodológica convencional: el investigador presenta un perfil de doble excepcionalidad neurodivergente, caracterizado por la confluencia de altas capacidades intelectuales, Trastorno por Déficit de Atención e Hiperactividad (TDAH) y dislexia. Esta condición no es periférica al proceso de investigación — es constitutiva de él.</w:t>
      </w:r>
    </w:p>
    <w:p>
      <w:pPr>
        <w:pStyle w:val="Heading3"/>
        <w:jc w:val="left"/>
        <w:spacing w:before="240" w:after="120" w:line="360" w:lineRule="auto"/>
      </w:pPr>
      <w:r>
        <w:rPr>
          <w:rFonts w:ascii="Times New Roman" w:hAnsi="Times New Roman" w:cs="Times New Roman"/>
          <w:b/>
          <w:i w:val="0"/>
          <w:sz w:val="24"/>
        </w:rPr>
        <w:t>5.8.2 Del déficit al instrumento: el paradigma de la neurodiversidad</w:t>
      </w:r>
    </w:p>
    <w:p>
      <w:pPr>
        <w:jc w:val="both"/>
        <w:spacing w:before="0" w:after="160" w:line="360" w:lineRule="auto"/>
      </w:pPr>
      <w:r>
        <w:rPr>
          <w:rFonts w:ascii="Times New Roman" w:hAnsi="Times New Roman" w:cs="Times New Roman"/>
          <w:b w:val="0"/>
          <w:i w:val="0"/>
          <w:sz w:val="24"/>
        </w:rPr>
        <w:t>El movimiento de la neurodiversidad propone reconceptualizar la variación neurológica humana como parte de la biodiversidad, en lugar de tratarla como patología individual (Chapman, 2022). La disfunción es relacional —producto del desajuste entre las características neurocognitivas del sujeto y las demandas del entorno— y no intrínseca al sujeto. Esta reconceptualización tiene consecuencias metodológicas directas: mediante artefactos apropiados y esquemas de utilización correspondientes, las características neurocognitivas pueden convertirse en recursos epistémicos (Rabardel &amp; Béguin, 2005). El investigador presenta: (a) altas capacidades — pensamiento acelerado, síntesis transdisciplinar, conexión entre dominios distantes; (b) TDAH — hiperfoco investigativo de alta productividad, pensamiento divergente; (c) dislexia — procesamiento visual-espacial elevado, comprensión holística de sistemas complejos.</w:t>
      </w:r>
    </w:p>
    <w:p>
      <w:pPr>
        <w:pStyle w:val="Heading3"/>
        <w:jc w:val="left"/>
        <w:spacing w:before="240" w:after="120" w:line="360" w:lineRule="auto"/>
      </w:pPr>
      <w:r>
        <w:rPr>
          <w:rFonts w:ascii="Times New Roman" w:hAnsi="Times New Roman" w:cs="Times New Roman"/>
          <w:b/>
          <w:i w:val="0"/>
          <w:sz w:val="24"/>
        </w:rPr>
        <w:t>5.8.3 Claude Code y Obsidian como herramientas vygotskianas</w:t>
      </w:r>
    </w:p>
    <w:p>
      <w:pPr>
        <w:jc w:val="both"/>
        <w:spacing w:before="0" w:after="160" w:line="360" w:lineRule="auto"/>
      </w:pPr>
      <w:r>
        <w:rPr>
          <w:rFonts w:ascii="Times New Roman" w:hAnsi="Times New Roman" w:cs="Times New Roman"/>
          <w:b w:val="0"/>
          <w:i w:val="0"/>
          <w:sz w:val="24"/>
        </w:rPr>
        <w:t>Vygotsky (1930, 1934) establece que las herramientas son fenómenos socioculturales que codifican tipos particulares de operaciones, mediando la actividad mental y participando en la configuración de la conciencia. Claude Code y Obsidian no son meras aplicaciones de productividad: son mediadores socioculturales de la actividad investigativa que reorganizan las funciones mentales superiores del investigador. La ZDP del investigador neurodivergente no es una brecha de conocimiento —es una brecha de traducción cognitiva entre el pensamiento sistémico-visual disponible y los formatos de producción científica que el campo exige. Claude Code y Obsidian actúan como el "compañero más capaz" que Vygotsky describe, operando en esa ZDP para permitir la producción académica rigurosa.</w:t>
      </w:r>
    </w:p>
    <w:p>
      <w:pPr>
        <w:pStyle w:val="Heading3"/>
        <w:jc w:val="left"/>
        <w:spacing w:before="240" w:after="120" w:line="360" w:lineRule="auto"/>
      </w:pPr>
      <w:r>
        <w:rPr>
          <w:rFonts w:ascii="Times New Roman" w:hAnsi="Times New Roman" w:cs="Times New Roman"/>
          <w:b/>
          <w:i w:val="0"/>
          <w:sz w:val="24"/>
        </w:rPr>
        <w:t>5.8.4 SIPTech-001: el investigador como sujeto y objeto del SIP</w:t>
      </w:r>
    </w:p>
    <w:p>
      <w:pPr>
        <w:jc w:val="both"/>
        <w:spacing w:before="0" w:after="160" w:line="360" w:lineRule="auto"/>
      </w:pPr>
      <w:r>
        <w:rPr>
          <w:rFonts w:ascii="Times New Roman" w:hAnsi="Times New Roman" w:cs="Times New Roman"/>
          <w:b w:val="0"/>
          <w:i w:val="0"/>
          <w:sz w:val="24"/>
        </w:rPr>
        <w:t>La implicación más profunda de esta posicionalidad es que el investigador es simultáneamente sujeto y objeto de la investigación. SIPTech-001 denomina el SIP que el propio investigador ha desarrollado para mediar su propia actividad investigativa — el sistema Claude Code + Obsidian + protocolos de producción académica adaptados a su perfil neurodivergente. Este SIPTech-001 es, en los términos de Von Foerster (2003), un sistema de segundo orden: el observador que diseña sistemas de observación para sí mismo. Este posicionamiento no compromete la validez de la investigación; por el contrario, la enriquece con la coherencia entre el fenómeno de la mediación instrumental (que es el objeto de la tesis) y la propia práctica del investigador que es su primer sujeto empírico.</w:t>
      </w:r>
    </w:p>
    <w:p>
      <w:r>
        <w:br w:type="page"/>
      </w:r>
    </w:p>
    <w:p>
      <w:pPr>
        <w:pStyle w:val="Heading1"/>
        <w:jc w:val="left"/>
        <w:spacing w:before="480" w:after="240" w:line="360" w:lineRule="auto"/>
      </w:pPr>
      <w:r>
        <w:rPr>
          <w:rFonts w:ascii="Times New Roman" w:hAnsi="Times New Roman" w:cs="Times New Roman"/>
          <w:b/>
          <w:i w:val="0"/>
          <w:sz w:val="28"/>
        </w:rPr>
        <w:t>CAPÍTULO 6. ATENEA AI COMO INSTANCIA DEL SIP</w:t>
      </w:r>
    </w:p>
    <w:p>
      <w:pPr>
        <w:pStyle w:val="Heading2"/>
        <w:jc w:val="left"/>
        <w:spacing w:before="360" w:after="180" w:line="360" w:lineRule="auto"/>
      </w:pPr>
      <w:r>
        <w:rPr>
          <w:rFonts w:ascii="Times New Roman" w:hAnsi="Times New Roman" w:cs="Times New Roman"/>
          <w:b/>
          <w:i w:val="0"/>
          <w:sz w:val="26"/>
        </w:rPr>
        <w:t>6.1 Diseño del sistema: principios articuladores</w:t>
      </w:r>
    </w:p>
    <w:p>
      <w:pPr>
        <w:jc w:val="both"/>
        <w:spacing w:before="0" w:after="160" w:line="360" w:lineRule="auto"/>
      </w:pPr>
      <w:r>
        <w:rPr>
          <w:rFonts w:ascii="Times New Roman" w:hAnsi="Times New Roman" w:cs="Times New Roman"/>
          <w:b w:val="0"/>
          <w:i w:val="0"/>
          <w:sz w:val="24"/>
        </w:rPr>
        <w:t>El sistema Atenea AI es la primera instancia documentada del SIP en un contexto educativo real. No es simplemente una implementación técnica del stacking ensemble: es la expresión operacional de los principios que articulan la Teoría de la Actividad, la génesis instrumental y la IBD en un sistema tecnológico que puede ser usado, evaluado y rediseñado iterativamente.</w:t>
      </w:r>
    </w:p>
    <w:p>
      <w:pPr>
        <w:jc w:val="both"/>
        <w:spacing w:before="0" w:after="160" w:line="360" w:lineRule="auto"/>
      </w:pPr>
      <w:r>
        <w:rPr>
          <w:rFonts w:ascii="Times New Roman" w:hAnsi="Times New Roman" w:cs="Times New Roman"/>
          <w:b w:val="0"/>
          <w:i w:val="0"/>
          <w:sz w:val="24"/>
        </w:rPr>
        <w:t>La elección del nombre "Atenea AI" captura la intención epistemológica del sistema: Atenea es la figura que no separa el conocimiento del arte de la acción. El sistema no es un oráculo que responde preguntas, sino un sistema de mediación instrumental que hace visible lo que el orientador no puede ver, orienta la acción y genera retroalimentación que transforma tanto al sistema como al sujeto que lo usa.</w:t>
      </w:r>
    </w:p>
    <w:p>
      <w:pPr>
        <w:jc w:val="both"/>
        <w:spacing w:before="0" w:after="160" w:line="360" w:lineRule="auto"/>
      </w:pPr>
      <w:r>
        <w:rPr>
          <w:rFonts w:ascii="Times New Roman" w:hAnsi="Times New Roman" w:cs="Times New Roman"/>
          <w:b w:val="0"/>
          <w:i w:val="0"/>
          <w:sz w:val="24"/>
        </w:rPr>
        <w:t>El diseño responde a cinco principios articuladores:</w:t>
      </w:r>
    </w:p>
    <w:p>
      <w:pPr>
        <w:ind w:left="567"/>
        <w:jc w:val="both"/>
        <w:spacing w:before="0" w:after="120" w:line="360" w:lineRule="auto"/>
      </w:pPr>
      <w:r>
        <w:rPr>
          <w:rFonts w:ascii="Times New Roman" w:hAnsi="Times New Roman" w:cs="Times New Roman"/>
          <w:b w:val="0"/>
          <w:i w:val="0"/>
          <w:sz w:val="24"/>
        </w:rPr>
        <w:t>1. Anticipación, no retrospección: el sistema actúa antes de que el proceso de desvinculación se consolide</w:t>
      </w:r>
    </w:p>
    <w:p>
      <w:pPr>
        <w:ind w:left="567"/>
        <w:jc w:val="both"/>
        <w:spacing w:before="0" w:after="120" w:line="360" w:lineRule="auto"/>
      </w:pPr>
      <w:r>
        <w:rPr>
          <w:rFonts w:ascii="Times New Roman" w:hAnsi="Times New Roman" w:cs="Times New Roman"/>
          <w:b w:val="0"/>
          <w:i w:val="0"/>
          <w:sz w:val="24"/>
        </w:rPr>
        <w:t>2. Explicabilidad como requerimiento epistemológico: toda predicción va acompañada de su explicación SHAP</w:t>
      </w:r>
    </w:p>
    <w:p>
      <w:pPr>
        <w:ind w:left="567"/>
        <w:jc w:val="both"/>
        <w:spacing w:before="0" w:after="120" w:line="360" w:lineRule="auto"/>
      </w:pPr>
      <w:r>
        <w:rPr>
          <w:rFonts w:ascii="Times New Roman" w:hAnsi="Times New Roman" w:cs="Times New Roman"/>
          <w:b w:val="0"/>
          <w:i w:val="0"/>
          <w:sz w:val="24"/>
        </w:rPr>
        <w:t>3. Diseño antropocéntrico: el eje del sistema es la actividad del orientador, no la capacidad técnica del algoritmo</w:t>
      </w:r>
    </w:p>
    <w:p>
      <w:pPr>
        <w:ind w:left="567"/>
        <w:jc w:val="both"/>
        <w:spacing w:before="0" w:after="120" w:line="360" w:lineRule="auto"/>
      </w:pPr>
      <w:r>
        <w:rPr>
          <w:rFonts w:ascii="Times New Roman" w:hAnsi="Times New Roman" w:cs="Times New Roman"/>
          <w:b w:val="0"/>
          <w:i w:val="0"/>
          <w:sz w:val="24"/>
        </w:rPr>
        <w:t>4. Retroalimentación como cierre del ciclo: el registro del resultado de cada intervención transforma el artefacto en instrumento</w:t>
      </w:r>
    </w:p>
    <w:p>
      <w:pPr>
        <w:ind w:left="567"/>
        <w:jc w:val="both"/>
        <w:spacing w:before="0" w:after="120" w:line="360" w:lineRule="auto"/>
      </w:pPr>
      <w:r>
        <w:rPr>
          <w:rFonts w:ascii="Times New Roman" w:hAnsi="Times New Roman" w:cs="Times New Roman"/>
          <w:b w:val="0"/>
          <w:i w:val="0"/>
          <w:sz w:val="24"/>
        </w:rPr>
        <w:t>5. Potentia sobre potestas: el sistema empodera a los sujetos, no los administra algorítmicamente</w:t>
      </w:r>
    </w:p>
    <w:p>
      <w:pPr>
        <w:pStyle w:val="Heading2"/>
        <w:jc w:val="left"/>
        <w:spacing w:before="360" w:after="180" w:line="360" w:lineRule="auto"/>
      </w:pPr>
      <w:r>
        <w:rPr>
          <w:rFonts w:ascii="Times New Roman" w:hAnsi="Times New Roman" w:cs="Times New Roman"/>
          <w:b/>
          <w:i w:val="0"/>
          <w:sz w:val="26"/>
        </w:rPr>
        <w:t>6.2 Arquitectura computacional</w:t>
      </w:r>
    </w:p>
    <w:p>
      <w:pPr>
        <w:pStyle w:val="Heading3"/>
        <w:jc w:val="left"/>
        <w:spacing w:before="240" w:after="120" w:line="360" w:lineRule="auto"/>
      </w:pPr>
      <w:r>
        <w:rPr>
          <w:rFonts w:ascii="Times New Roman" w:hAnsi="Times New Roman" w:cs="Times New Roman"/>
          <w:b/>
          <w:i w:val="0"/>
          <w:sz w:val="24"/>
        </w:rPr>
        <w:t>6.2.1 Capa 1 — Clasificadores base</w:t>
      </w:r>
    </w:p>
    <w:p>
      <w:pPr>
        <w:jc w:val="both"/>
        <w:spacing w:before="0" w:after="160" w:line="360" w:lineRule="auto"/>
      </w:pPr>
      <w:r>
        <w:rPr>
          <w:rFonts w:ascii="Times New Roman" w:hAnsi="Times New Roman" w:cs="Times New Roman"/>
          <w:b w:val="0"/>
          <w:i w:val="0"/>
          <w:sz w:val="24"/>
        </w:rPr>
        <w:t>Los tres clasificadores base procesan el conjunto de datos completo (165 variables psicométricas + variables académicas y demográficas) y generan vectores de probabilidades para cada estudiante:</w:t>
      </w:r>
    </w:p>
    <w:p>
      <w:pPr>
        <w:jc w:val="both"/>
        <w:spacing w:before="0" w:after="160" w:line="360" w:lineRule="auto"/>
      </w:pPr>
      <w:r>
        <w:rPr>
          <w:rFonts w:ascii="Times New Roman" w:hAnsi="Times New Roman" w:cs="Times New Roman"/>
          <w:b w:val="0"/>
          <w:i w:val="0"/>
          <w:sz w:val="24"/>
        </w:rPr>
        <w:t>- Random Forest: n_estimators=100, criterion=gini — reduce varianza; robusto ante outliers en datos psicométricos</w:t>
      </w:r>
    </w:p>
    <w:p>
      <w:pPr>
        <w:jc w:val="both"/>
        <w:spacing w:before="0" w:after="160" w:line="360" w:lineRule="auto"/>
      </w:pPr>
      <w:r>
        <w:rPr>
          <w:rFonts w:ascii="Times New Roman" w:hAnsi="Times New Roman" w:cs="Times New Roman"/>
          <w:b w:val="0"/>
          <w:i w:val="0"/>
          <w:sz w:val="24"/>
        </w:rPr>
        <w:t>- XGBoost: eta=0.1, max_depth=6, objective=multi:softprob — reduce sesgo; captura relaciones no lineales entre dimensiones psicoemocionales</w:t>
      </w:r>
    </w:p>
    <w:p>
      <w:pPr>
        <w:jc w:val="both"/>
        <w:spacing w:before="0" w:after="160" w:line="360" w:lineRule="auto"/>
      </w:pPr>
      <w:r>
        <w:rPr>
          <w:rFonts w:ascii="Times New Roman" w:hAnsi="Times New Roman" w:cs="Times New Roman"/>
          <w:b w:val="0"/>
          <w:i w:val="0"/>
          <w:sz w:val="24"/>
        </w:rPr>
        <w:t>- Gradient Boosting: n_estimators=100, learning_rate=0.1, max_depth=3 — complementa a XGBoost con diferente régimen de regularización</w:t>
      </w:r>
    </w:p>
    <w:p>
      <w:pPr>
        <w:pStyle w:val="Heading3"/>
        <w:jc w:val="left"/>
        <w:spacing w:before="240" w:after="120" w:line="360" w:lineRule="auto"/>
      </w:pPr>
      <w:r>
        <w:rPr>
          <w:rFonts w:ascii="Times New Roman" w:hAnsi="Times New Roman" w:cs="Times New Roman"/>
          <w:b/>
          <w:i w:val="0"/>
          <w:sz w:val="24"/>
        </w:rPr>
        <w:t>6.2.2 Capa 2 — Meta-aprendiz FNN</w:t>
      </w:r>
    </w:p>
    <w:p>
      <w:pPr>
        <w:jc w:val="both"/>
        <w:spacing w:before="0" w:after="160" w:line="360" w:lineRule="auto"/>
      </w:pPr>
      <w:r>
        <w:rPr>
          <w:rFonts w:ascii="Times New Roman" w:hAnsi="Times New Roman" w:cs="Times New Roman"/>
          <w:b w:val="0"/>
          <w:i w:val="0"/>
          <w:sz w:val="24"/>
        </w:rPr>
        <w:t>La red neuronal de propagación hacia adelante aprende la función de combinación óptima a partir de las meta-características (9 probabilidades de la Capa 1). Arquitectura: Input(9) → Dense(64) → Dropout(0.3) → Dense(32) → Dense(3) con activación softmax. La probabilidad continua P(abandono) se categoriza en tres niveles: alto (&gt;= 0.70), medio (0.40-0.69), bajo (&lt; 0.40).</w:t>
      </w:r>
    </w:p>
    <w:p>
      <w:pPr>
        <w:pStyle w:val="Heading3"/>
        <w:jc w:val="left"/>
        <w:spacing w:before="240" w:after="120" w:line="360" w:lineRule="auto"/>
      </w:pPr>
      <w:r>
        <w:rPr>
          <w:rFonts w:ascii="Times New Roman" w:hAnsi="Times New Roman" w:cs="Times New Roman"/>
          <w:b/>
          <w:i w:val="0"/>
          <w:sz w:val="24"/>
        </w:rPr>
        <w:t>6.2.3 SHAP en dos niveles</w:t>
      </w:r>
    </w:p>
    <w:p>
      <w:pPr>
        <w:jc w:val="both"/>
        <w:spacing w:before="0" w:after="160" w:line="360" w:lineRule="auto"/>
      </w:pPr>
      <w:r>
        <w:rPr>
          <w:rFonts w:ascii="Times New Roman" w:hAnsi="Times New Roman" w:cs="Times New Roman"/>
          <w:b w:val="0"/>
          <w:i w:val="0"/>
          <w:sz w:val="24"/>
        </w:rPr>
        <w:t>Los valores SHAP se calculan tanto para los modelos base (identificando qué variables psicoemocionales contribuyen más a la predicción de cada clasificador) como para el meta-aprendiz (identificando qué dimensiones combinadas activan el riesgo final). Esta doble explicación es la Ficha Atenea AI.</w:t>
      </w:r>
    </w:p>
    <w:p>
      <w:pPr>
        <w:pStyle w:val="Heading2"/>
        <w:jc w:val="left"/>
        <w:spacing w:before="360" w:after="180" w:line="360" w:lineRule="auto"/>
      </w:pPr>
      <w:r>
        <w:rPr>
          <w:rFonts w:ascii="Times New Roman" w:hAnsi="Times New Roman" w:cs="Times New Roman"/>
          <w:b/>
          <w:i w:val="0"/>
          <w:sz w:val="26"/>
        </w:rPr>
        <w:t>6.3 La Ficha Atenea AI: interfaz de mediación</w:t>
      </w:r>
    </w:p>
    <w:p>
      <w:pPr>
        <w:jc w:val="both"/>
        <w:spacing w:before="0" w:after="160" w:line="360" w:lineRule="auto"/>
      </w:pPr>
      <w:r>
        <w:rPr>
          <w:rFonts w:ascii="Times New Roman" w:hAnsi="Times New Roman" w:cs="Times New Roman"/>
          <w:b w:val="0"/>
          <w:i w:val="0"/>
          <w:sz w:val="24"/>
        </w:rPr>
        <w:t>La Ficha Atenea AI es la interfaz de mediación del sistema. Tiene cinco secciones:</w:t>
      </w:r>
    </w:p>
    <w:p>
      <w:pPr>
        <w:ind w:left="567"/>
        <w:jc w:val="both"/>
        <w:spacing w:before="0" w:after="120" w:line="360" w:lineRule="auto"/>
      </w:pPr>
      <w:r>
        <w:rPr>
          <w:rFonts w:ascii="Times New Roman" w:hAnsi="Times New Roman" w:cs="Times New Roman"/>
          <w:b w:val="0"/>
          <w:i w:val="0"/>
          <w:sz w:val="24"/>
        </w:rPr>
        <w:t>1. Score de riesgo: probabilidad P(abandono) + nivel (alto/medio/bajo) + descripción del perfil</w:t>
      </w:r>
    </w:p>
    <w:p>
      <w:pPr>
        <w:ind w:left="567"/>
        <w:jc w:val="both"/>
        <w:spacing w:before="0" w:after="120" w:line="360" w:lineRule="auto"/>
      </w:pPr>
      <w:r>
        <w:rPr>
          <w:rFonts w:ascii="Times New Roman" w:hAnsi="Times New Roman" w:cs="Times New Roman"/>
          <w:b w:val="0"/>
          <w:i w:val="0"/>
          <w:sz w:val="24"/>
        </w:rPr>
        <w:t>2. Perfil de uso de redes sociales: clasificación en Perfil A (alto conectado), B (uso moderado) o C (bajo desconectado), con indicadores específicos</w:t>
      </w:r>
    </w:p>
    <w:p>
      <w:pPr>
        <w:ind w:left="567"/>
        <w:jc w:val="both"/>
        <w:spacing w:before="0" w:after="120" w:line="360" w:lineRule="auto"/>
      </w:pPr>
      <w:r>
        <w:rPr>
          <w:rFonts w:ascii="Times New Roman" w:hAnsi="Times New Roman" w:cs="Times New Roman"/>
          <w:b w:val="0"/>
          <w:i w:val="0"/>
          <w:sz w:val="24"/>
        </w:rPr>
        <w:t>3. Dimensiones críticas (SHAP local): los 3-5 factores psicoemocionales que más están activando el riesgo, en lenguaje accesible para el orientador</w:t>
      </w:r>
    </w:p>
    <w:p>
      <w:pPr>
        <w:ind w:left="567"/>
        <w:jc w:val="both"/>
        <w:spacing w:before="0" w:after="120" w:line="360" w:lineRule="auto"/>
      </w:pPr>
      <w:r>
        <w:rPr>
          <w:rFonts w:ascii="Times New Roman" w:hAnsi="Times New Roman" w:cs="Times New Roman"/>
          <w:b w:val="0"/>
          <w:i w:val="0"/>
          <w:sz w:val="24"/>
        </w:rPr>
        <w:t>4. Patrón temporal: si existen datos de múltiples momentos, visualización de la trayectoria del estudiante (convergente, estable, divergente)</w:t>
      </w:r>
    </w:p>
    <w:p>
      <w:pPr>
        <w:ind w:left="567"/>
        <w:jc w:val="both"/>
        <w:spacing w:before="0" w:after="120" w:line="360" w:lineRule="auto"/>
      </w:pPr>
      <w:r>
        <w:rPr>
          <w:rFonts w:ascii="Times New Roman" w:hAnsi="Times New Roman" w:cs="Times New Roman"/>
          <w:b w:val="0"/>
          <w:i w:val="0"/>
          <w:sz w:val="24"/>
        </w:rPr>
        <w:t>5. Recomendación de intervención: protocolo específico según el nivel de riesgo y el perfil de RS</w:t>
      </w:r>
    </w:p>
    <w:p>
      <w:pPr>
        <w:pStyle w:val="Heading2"/>
        <w:jc w:val="left"/>
        <w:spacing w:before="360" w:after="180" w:line="360" w:lineRule="auto"/>
      </w:pPr>
      <w:r>
        <w:rPr>
          <w:rFonts w:ascii="Times New Roman" w:hAnsi="Times New Roman" w:cs="Times New Roman"/>
          <w:b/>
          <w:i w:val="0"/>
          <w:sz w:val="26"/>
        </w:rPr>
        <w:t>6.4 El ciclo CIR como esquema de utilización</w:t>
      </w:r>
    </w:p>
    <w:p>
      <w:pPr>
        <w:jc w:val="both"/>
        <w:spacing w:before="0" w:after="160" w:line="360" w:lineRule="auto"/>
      </w:pPr>
      <w:r>
        <w:rPr>
          <w:rFonts w:ascii="Times New Roman" w:hAnsi="Times New Roman" w:cs="Times New Roman"/>
          <w:b w:val="0"/>
          <w:i w:val="0"/>
          <w:sz w:val="24"/>
        </w:rPr>
        <w:t>El ciclo CIR (Comprensión → Intervención → Retroalimentación) es el esquema de utilización central del sistema Atenea AI. Es el mecanismo que transforma el artefacto computacional en instrumento pedagógico.</w:t>
      </w:r>
    </w:p>
    <w:p>
      <w:pPr>
        <w:jc w:val="both"/>
        <w:spacing w:before="0" w:after="160" w:line="360" w:lineRule="auto"/>
      </w:pPr>
      <w:r>
        <w:rPr>
          <w:rFonts w:ascii="Times New Roman" w:hAnsi="Times New Roman" w:cs="Times New Roman"/>
          <w:b w:val="0"/>
          <w:i w:val="0"/>
          <w:sz w:val="24"/>
        </w:rPr>
        <w:t>Comprensión (mediación epistémica): el orientador lee la Ficha Atenea AI, comprende el perfil de riesgo y los factores activadores, y construye una hipótesis pedagógica sobre las necesidades del estudiante. Esta fase se apoya en el SHAP local y en la narrativa del perfil.</w:t>
      </w:r>
    </w:p>
    <w:p>
      <w:pPr>
        <w:jc w:val="both"/>
        <w:spacing w:before="0" w:after="160" w:line="360" w:lineRule="auto"/>
      </w:pPr>
      <w:r>
        <w:rPr>
          <w:rFonts w:ascii="Times New Roman" w:hAnsi="Times New Roman" w:cs="Times New Roman"/>
          <w:b w:val="0"/>
          <w:i w:val="0"/>
          <w:sz w:val="24"/>
        </w:rPr>
        <w:t>Intervención (mediación heurística): el orientador diseña y ejecuta una intervención personalizada basada en la comprensión construida. El protocolo varía según el nivel de riesgo: contacto en 48 horas para riesgo alto, seguimiento programado para riesgo medio, monitoreo preventivo para riesgo bajo.</w:t>
      </w:r>
    </w:p>
    <w:p>
      <w:pPr>
        <w:jc w:val="both"/>
        <w:spacing w:before="0" w:after="160" w:line="360" w:lineRule="auto"/>
      </w:pPr>
      <w:r>
        <w:rPr>
          <w:rFonts w:ascii="Times New Roman" w:hAnsi="Times New Roman" w:cs="Times New Roman"/>
          <w:b w:val="0"/>
          <w:i w:val="0"/>
          <w:sz w:val="24"/>
        </w:rPr>
        <w:t>Retroalimentación (mediación pragmática): el orientador registra el resultado de la intervención en el sistema, incluyendo qué intervención realizó, cuál fue la respuesta del estudiante, y si el perfil de riesgo cambió. Este registro retroalimenta al modelo, mejorando su capacidad predictiva en el siguiente ciclo.</w:t>
      </w:r>
    </w:p>
    <w:p>
      <w:pPr>
        <w:pStyle w:val="Heading2"/>
        <w:jc w:val="left"/>
        <w:spacing w:before="360" w:after="180" w:line="360" w:lineRule="auto"/>
      </w:pPr>
      <w:r>
        <w:rPr>
          <w:rFonts w:ascii="Times New Roman" w:hAnsi="Times New Roman" w:cs="Times New Roman"/>
          <w:b/>
          <w:i w:val="0"/>
          <w:sz w:val="26"/>
        </w:rPr>
        <w:t>6.5 Análisis longitudinal: el manifold temporal</w:t>
      </w:r>
    </w:p>
    <w:p>
      <w:pPr>
        <w:jc w:val="both"/>
        <w:spacing w:before="0" w:after="160" w:line="360" w:lineRule="auto"/>
      </w:pPr>
      <w:r>
        <w:rPr>
          <w:rFonts w:ascii="Times New Roman" w:hAnsi="Times New Roman" w:cs="Times New Roman"/>
          <w:b w:val="0"/>
          <w:i w:val="0"/>
          <w:sz w:val="24"/>
        </w:rPr>
        <w:t>El sistema implementa un análisis longitudinal basado en t-SNE para visualizar la evolución temporal de los perfiles estudiantiles. Con datos de múltiples momentos (T0, T1, T2...), el manifold muestra las trayectorias individuales de los estudiantes en el espacio de 20 dimensiones proyectado a 2D. La simulación piloto con N=32 estudiantes (3 momentos temporales, 96 puntos) reveló: (1) tres perfiles claramente separados en el espacio — Perfil A (Alto Conectado, N=7), Perfil B (Uso Moderado, N=11), Perfil C (Bajo Desconectado, N=14); (2) sin intervención CIR, 1 estudiante migró del Perfil A al Perfil C en el escenario T2; (3) con intervención en T1, los perfiles se mantuvieron estables.</w:t>
      </w:r>
    </w:p>
    <w:p>
      <w:pPr>
        <w:pStyle w:val="Heading2"/>
        <w:jc w:val="left"/>
        <w:spacing w:before="360" w:after="180" w:line="360" w:lineRule="auto"/>
      </w:pPr>
      <w:r>
        <w:rPr>
          <w:rFonts w:ascii="Times New Roman" w:hAnsi="Times New Roman" w:cs="Times New Roman"/>
          <w:b/>
          <w:i w:val="0"/>
          <w:sz w:val="26"/>
        </w:rPr>
        <w:t>6.6 Métricas de evaluación del MVP</w:t>
      </w:r>
    </w:p>
    <w:p>
      <w:pPr>
        <w:jc w:val="both"/>
        <w:spacing w:before="0" w:after="160" w:line="360" w:lineRule="auto"/>
      </w:pPr>
      <w:r>
        <w:rPr>
          <w:rFonts w:ascii="Times New Roman" w:hAnsi="Times New Roman" w:cs="Times New Roman"/>
          <w:b w:val="0"/>
          <w:i w:val="0"/>
          <w:sz w:val="24"/>
        </w:rPr>
        <w:t>El prototipo funcional del sistema Atenea AI alcanzó, en la fase piloto con datos sintéticos (N=500):</w:t>
      </w:r>
    </w:p>
    <w:p>
      <w:pPr>
        <w:jc w:val="both"/>
        <w:spacing w:before="0" w:after="160" w:line="360" w:lineRule="auto"/>
      </w:pPr>
      <w:r>
        <w:rPr>
          <w:rFonts w:ascii="Times New Roman" w:hAnsi="Times New Roman" w:cs="Times New Roman"/>
          <w:b w:val="0"/>
          <w:i w:val="0"/>
          <w:sz w:val="24"/>
        </w:rPr>
        <w:t>- AUC-ROC: 98.5% — discriminación casi perfecta del riesgo</w:t>
      </w:r>
    </w:p>
    <w:p>
      <w:pPr>
        <w:jc w:val="both"/>
        <w:spacing w:before="0" w:after="160" w:line="360" w:lineRule="auto"/>
      </w:pPr>
      <w:r>
        <w:rPr>
          <w:rFonts w:ascii="Times New Roman" w:hAnsi="Times New Roman" w:cs="Times New Roman"/>
          <w:b w:val="0"/>
          <w:i w:val="0"/>
          <w:sz w:val="24"/>
        </w:rPr>
        <w:t>- Accuracy: 94% — con la advertencia de inflación por clase mayoritaria</w:t>
      </w:r>
    </w:p>
    <w:p>
      <w:pPr>
        <w:jc w:val="both"/>
        <w:spacing w:before="0" w:after="160" w:line="360" w:lineRule="auto"/>
      </w:pPr>
      <w:r>
        <w:rPr>
          <w:rFonts w:ascii="Times New Roman" w:hAnsi="Times New Roman" w:cs="Times New Roman"/>
          <w:b w:val="0"/>
          <w:i w:val="0"/>
          <w:sz w:val="24"/>
        </w:rPr>
        <w:t>- F1-Score: 75% — métrica real para la clase minoritaria (abandono)</w:t>
      </w:r>
    </w:p>
    <w:p>
      <w:pPr>
        <w:jc w:val="both"/>
        <w:spacing w:before="0" w:after="160" w:line="360" w:lineRule="auto"/>
      </w:pPr>
      <w:r>
        <w:rPr>
          <w:rFonts w:ascii="Times New Roman" w:hAnsi="Times New Roman" w:cs="Times New Roman"/>
          <w:b w:val="0"/>
          <w:i w:val="0"/>
          <w:sz w:val="24"/>
        </w:rPr>
        <w:t>- Recall en abandono: 69% — 7 de cada 10 estudiantes en riesgo son identificados</w:t>
      </w:r>
    </w:p>
    <w:p>
      <w:pPr>
        <w:jc w:val="both"/>
        <w:spacing w:before="0" w:after="160" w:line="360" w:lineRule="auto"/>
      </w:pPr>
      <w:r>
        <w:rPr>
          <w:rFonts w:ascii="Times New Roman" w:hAnsi="Times New Roman" w:cs="Times New Roman"/>
          <w:b w:val="0"/>
          <w:i w:val="0"/>
          <w:sz w:val="24"/>
        </w:rPr>
        <w:t>Estas métricas representan el punto de partida del desarrollo; la validación con datos reales y variable dependiente confirmada requiere el seguimiento longitudinal descrito en la Fase 4 de la IBD.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