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rPr>
          <w:rFonts w:ascii="Times New Roman" w:cs="Times New Roman" w:eastAsia="Times New Roman" w:hAnsi="Times New Roman"/>
          <w:b/>
          <w:bCs/>
          <w:sz w:val="24"/>
          <w:szCs w:val="24"/>
        </w:rPr>
        <w:t xml:space="preserve">3.13 Fundamentos filosófico-epistemológicos de la investigación</w:t>
      </w:r>
    </w:p>
    <w:p>
      <w:pPr>
        <w:spacing w:after="160" w:line="276"/>
        <w:jc w:val="both"/>
      </w:pPr>
      <w:r>
        <w:rPr>
          <w:rFonts w:ascii="Times New Roman" w:cs="Times New Roman" w:eastAsia="Times New Roman" w:hAnsi="Times New Roman"/>
          <w:sz w:val="24"/>
          <w:szCs w:val="24"/>
        </w:rPr>
        <w:t xml:space="preserve">La solidez de cualquier investigación científica no reside únicamente en la robustez de sus métodos ni en la precisión de sus instrumentos de medición, sino en la coherencia de sus supuestos filosóficos y epistemológicos con los fenómenos que pretende comprender. En este sentido, la presente investigación adopta una postura epistemológica que trasciende el enfoque positivista tradicional, el cual concibe el conocimiento como representación objetiva y neutral de una realidad independiente del sujeto que la estudia. Por el contrario, se sitúa en una epistemología de la mediación instrumental, fundamentada en los aportes de Pierre Rabardel (1995), enriquecida por la ontología del útil propuesta por Martin Heidegger (1927/2016) y por la teoría de la mediación sociocultural de Lev S. Vygotski (1979). La articulación de estas tres corrientes filosófico-epistemológicas permite comprender el modelo predictivo basado en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no como una herramienta técnica neutral, sino como un instrumento cognitivo situado que media la construcción del fenómeno estudiado: la deserción escolar desde variables psicoemocionales.</w:t>
      </w:r>
    </w:p>
    <w:p>
      <w:pPr>
        <w:pStyle w:val="Heading3"/>
        <w:spacing w:after="100" w:before="200"/>
      </w:pPr>
      <w:r>
        <w:rPr>
          <w:rFonts w:ascii="Times New Roman" w:cs="Times New Roman" w:eastAsia="Times New Roman" w:hAnsi="Times New Roman"/>
          <w:b/>
          <w:bCs/>
          <w:i w:val="false"/>
          <w:iCs w:val="false"/>
          <w:sz w:val="24"/>
          <w:szCs w:val="24"/>
        </w:rPr>
        <w:t xml:space="preserve">3.13.1 La mediación instrumental como fundamento epistemológico: Rabardel</w:t>
      </w:r>
    </w:p>
    <w:p>
      <w:pPr>
        <w:spacing w:after="160" w:line="276"/>
        <w:jc w:val="both"/>
      </w:pPr>
      <w:r>
        <w:rPr>
          <w:rFonts w:ascii="Times New Roman" w:cs="Times New Roman" w:eastAsia="Times New Roman" w:hAnsi="Times New Roman"/>
          <w:sz w:val="24"/>
          <w:szCs w:val="24"/>
        </w:rPr>
        <w:t xml:space="preserve">Uno de los aportes más significativos para fundamentar epistemológicamente el uso de herramientas tecnológicas en la investigación proviene de la psicología ergonómica y la teoría de la actividad, particularmente a través de la obra de Pierre Rabardel (1995), quien establece una distinción conceptual de notable relevancia: la diferencia entre </w:t>
      </w:r>
      <w:r>
        <w:rPr>
          <w:rFonts w:ascii="Times New Roman" w:cs="Times New Roman" w:eastAsia="Times New Roman" w:hAnsi="Times New Roman"/>
          <w:i/>
          <w:iCs/>
          <w:sz w:val="24"/>
          <w:szCs w:val="24"/>
        </w:rPr>
        <w:t xml:space="preserve">artefacto</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instrumento</w:t>
      </w:r>
      <w:r>
        <w:rPr>
          <w:rFonts w:ascii="Times New Roman" w:cs="Times New Roman" w:eastAsia="Times New Roman" w:hAnsi="Times New Roman"/>
          <w:sz w:val="24"/>
          <w:szCs w:val="24"/>
        </w:rPr>
        <w:t xml:space="preserve">. Desde esta perspectiva, un artefacto constituye la estructura formal del objeto técnico tal como existe en sí mismo —en el caso de la presente investigación, los algoritmos computacionales de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XGBoost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y la red neuronal de retroalimentación—, mientras que el instrumento es el artefacto en uso, configurado, interpretado y operacionalizado por el investigador dentro de un marco teórico y práctico específico (Rabardel, 1995; Folcher y Rabardel, 2004). En este sentido, el modelo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desarrollado en la presente tesis no es simplemente una arquitectura algorítmica, sino una mediación cognitiva que reconfigura la comprensión institucional del riesgo de deserción.</w:t>
      </w:r>
    </w:p>
    <w:p>
      <w:pPr>
        <w:spacing w:after="160" w:line="276"/>
        <w:jc w:val="both"/>
      </w:pPr>
      <w:r>
        <w:rPr>
          <w:rFonts w:ascii="Times New Roman" w:cs="Times New Roman" w:eastAsia="Times New Roman" w:hAnsi="Times New Roman"/>
          <w:sz w:val="24"/>
          <w:szCs w:val="24"/>
        </w:rPr>
        <w:t xml:space="preserve">Lo anterior implica que el conocimiento producido por esta investigación no es descubierto en la realidad educativa, sino co-construido en la interacción dinámica entre el investigador, el sistema tecnológico y el contexto institucional (Rabardel y Bourmaud, 2003). Este proceso de construcción se articula a través de lo que Rabardel denomina </w:t>
      </w:r>
      <w:r>
        <w:rPr>
          <w:rFonts w:ascii="Times New Roman" w:cs="Times New Roman" w:eastAsia="Times New Roman" w:hAnsi="Times New Roman"/>
          <w:i/>
          <w:iCs/>
          <w:sz w:val="24"/>
          <w:szCs w:val="24"/>
        </w:rPr>
        <w:t xml:space="preserve">génesis instrumental</w:t>
      </w:r>
      <w:r>
        <w:rPr>
          <w:rFonts w:ascii="Times New Roman" w:cs="Times New Roman" w:eastAsia="Times New Roman" w:hAnsi="Times New Roman"/>
          <w:sz w:val="24"/>
          <w:szCs w:val="24"/>
        </w:rPr>
        <w:t xml:space="preserve">, compuesta por dos dimensiones complementarias e interdependientes. Por un lado, la </w:t>
      </w:r>
      <w:r>
        <w:rPr>
          <w:rFonts w:ascii="Times New Roman" w:cs="Times New Roman" w:eastAsia="Times New Roman" w:hAnsi="Times New Roman"/>
          <w:i/>
          <w:iCs/>
          <w:sz w:val="24"/>
          <w:szCs w:val="24"/>
        </w:rPr>
        <w:t xml:space="preserve">instrumentalización</w:t>
      </w:r>
      <w:r>
        <w:rPr>
          <w:rFonts w:ascii="Times New Roman" w:cs="Times New Roman" w:eastAsia="Times New Roman" w:hAnsi="Times New Roman"/>
          <w:sz w:val="24"/>
          <w:szCs w:val="24"/>
        </w:rPr>
        <w:t xml:space="preserve"> refiere al proceso mediante el cual el investigador transforma y adapta el artefacto a sus propósitos: la selección de variables psicoemocionales como predictores, el ajuste de hiperparámetros, la definición de umbrales de riesgo y la integración de los modelos en una arquitectura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Por otro lado, la </w:t>
      </w:r>
      <w:r>
        <w:rPr>
          <w:rFonts w:ascii="Times New Roman" w:cs="Times New Roman" w:eastAsia="Times New Roman" w:hAnsi="Times New Roman"/>
          <w:i/>
          <w:iCs/>
          <w:sz w:val="24"/>
          <w:szCs w:val="24"/>
        </w:rPr>
        <w:t xml:space="preserve">instrumentación</w:t>
      </w:r>
      <w:r>
        <w:rPr>
          <w:rFonts w:ascii="Times New Roman" w:cs="Times New Roman" w:eastAsia="Times New Roman" w:hAnsi="Times New Roman"/>
          <w:sz w:val="24"/>
          <w:szCs w:val="24"/>
        </w:rPr>
        <w:t xml:space="preserve"> alude al proceso inverso, en el cual el artefacto transforma al investigador y a la institución educativa: la introducción de pensamiento probabilístico en la toma de decisiones, la reinterpretación del abandono como fenómeno predictivo y la reorganización de las intervenciones institucionales basadas en datos (Rabardel, 1995; Lonchamp, 2012).</w:t>
      </w:r>
    </w:p>
    <w:p>
      <w:pPr>
        <w:spacing w:after="160" w:line="276"/>
        <w:jc w:val="both"/>
      </w:pPr>
      <w:r>
        <w:rPr>
          <w:rFonts w:ascii="Times New Roman" w:cs="Times New Roman" w:eastAsia="Times New Roman" w:hAnsi="Times New Roman"/>
          <w:sz w:val="24"/>
          <w:szCs w:val="24"/>
        </w:rPr>
        <w:t xml:space="preserve">Cabe destacar que esta postura epistemológica tiene implicaciones directas sobre los criterios de validez del conocimiento producido. La validez no puede reducirse a métricas estadísticas —precisión, </w:t>
      </w:r>
      <w:r>
        <w:rPr>
          <w:rFonts w:ascii="Times New Roman" w:cs="Times New Roman" w:eastAsia="Times New Roman" w:hAnsi="Times New Roman"/>
          <w:i/>
          <w:iCs/>
          <w:sz w:val="24"/>
          <w:szCs w:val="24"/>
        </w:rPr>
        <w:t xml:space="preserve">F1-score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AUC-ROC</w:t>
      </w:r>
      <w:r>
        <w:rPr>
          <w:rFonts w:ascii="Times New Roman" w:cs="Times New Roman" w:eastAsia="Times New Roman" w:hAnsi="Times New Roman"/>
          <w:sz w:val="24"/>
          <w:szCs w:val="24"/>
        </w:rPr>
        <w:t xml:space="preserve">—, sino que reside en la coherencia entre tres dimensiones interdependientes: el modelo teórico psicoemocional que fundamenta la selección de variables, el diseño instrumental que opera dicha selección y la interpretación contextualizada de los resultados en el sistema educativo mexicano (Rabardel y Bourmaud, 2003; Béguin y Rabardel, 2000). Así, la investigación se inscribe en una epistemología donde la tecnología no es auxiliar del conocimiento, sino constitutiva del mismo.</w:t>
      </w:r>
    </w:p>
    <w:p>
      <w:pPr>
        <w:pStyle w:val="Heading3"/>
        <w:spacing w:after="100" w:before="200"/>
      </w:pPr>
      <w:r>
        <w:rPr>
          <w:rFonts w:ascii="Times New Roman" w:cs="Times New Roman" w:eastAsia="Times New Roman" w:hAnsi="Times New Roman"/>
          <w:b/>
          <w:bCs/>
          <w:i w:val="false"/>
          <w:iCs w:val="false"/>
          <w:sz w:val="24"/>
          <w:szCs w:val="24"/>
        </w:rPr>
        <w:t xml:space="preserve">3.13.2 La herramienta y el ser: aportes de la ontología heideggeriana</w:t>
      </w:r>
    </w:p>
    <w:p>
      <w:pPr>
        <w:spacing w:after="160" w:line="276"/>
        <w:jc w:val="both"/>
      </w:pPr>
      <w:r>
        <w:rPr>
          <w:rFonts w:ascii="Times New Roman" w:cs="Times New Roman" w:eastAsia="Times New Roman" w:hAnsi="Times New Roman"/>
          <w:sz w:val="24"/>
          <w:szCs w:val="24"/>
        </w:rPr>
        <w:t xml:space="preserve">Complementando la perspectiva de Rabardel desde un plano más profundo, la ontología del útil propuesta por Martin Heidegger en </w:t>
      </w:r>
      <w:r>
        <w:rPr>
          <w:rFonts w:ascii="Times New Roman" w:cs="Times New Roman" w:eastAsia="Times New Roman" w:hAnsi="Times New Roman"/>
          <w:i/>
          <w:iCs/>
          <w:sz w:val="24"/>
          <w:szCs w:val="24"/>
        </w:rPr>
        <w:t xml:space="preserve">Ser y tiempo</w:t>
      </w:r>
      <w:r>
        <w:rPr>
          <w:rFonts w:ascii="Times New Roman" w:cs="Times New Roman" w:eastAsia="Times New Roman" w:hAnsi="Times New Roman"/>
          <w:sz w:val="24"/>
          <w:szCs w:val="24"/>
        </w:rPr>
        <w:t xml:space="preserve"> (1927/2016) ofrece un marco filosófico que ilumina el estatuto ontológico de los instrumentos en la práctica investigativa. Para Heidegger, la relación primaria del ser humano con los objetos no es teórica ni contemplativa, sino práctica y situacional; el mundo cotidiano se revela como una totalidad de utensilios (</w:t>
      </w:r>
      <w:r>
        <w:rPr>
          <w:rFonts w:ascii="Times New Roman" w:cs="Times New Roman" w:eastAsia="Times New Roman" w:hAnsi="Times New Roman"/>
          <w:i/>
          <w:iCs/>
          <w:sz w:val="24"/>
          <w:szCs w:val="24"/>
        </w:rPr>
        <w:t xml:space="preserve">Zeugzusammenhang</w:t>
      </w:r>
      <w:r>
        <w:rPr>
          <w:rFonts w:ascii="Times New Roman" w:cs="Times New Roman" w:eastAsia="Times New Roman" w:hAnsi="Times New Roman"/>
          <w:sz w:val="24"/>
          <w:szCs w:val="24"/>
        </w:rPr>
        <w:t xml:space="preserve">), donde cada útil (</w:t>
      </w:r>
      <w:r>
        <w:rPr>
          <w:rFonts w:ascii="Times New Roman" w:cs="Times New Roman" w:eastAsia="Times New Roman" w:hAnsi="Times New Roman"/>
          <w:i/>
          <w:iCs/>
          <w:sz w:val="24"/>
          <w:szCs w:val="24"/>
        </w:rPr>
        <w:t xml:space="preserve">Zeug</w:t>
      </w:r>
      <w:r>
        <w:rPr>
          <w:rFonts w:ascii="Times New Roman" w:cs="Times New Roman" w:eastAsia="Times New Roman" w:hAnsi="Times New Roman"/>
          <w:sz w:val="24"/>
          <w:szCs w:val="24"/>
        </w:rPr>
        <w:t xml:space="preserve">) existe dentro de una red de referencias y remisiones (</w:t>
      </w:r>
      <w:r>
        <w:rPr>
          <w:rFonts w:ascii="Times New Roman" w:cs="Times New Roman" w:eastAsia="Times New Roman" w:hAnsi="Times New Roman"/>
          <w:i/>
          <w:iCs/>
          <w:sz w:val="24"/>
          <w:szCs w:val="24"/>
        </w:rPr>
        <w:t xml:space="preserve">Verweisungszusammenhang</w:t>
      </w:r>
      <w:r>
        <w:rPr>
          <w:rFonts w:ascii="Times New Roman" w:cs="Times New Roman" w:eastAsia="Times New Roman" w:hAnsi="Times New Roman"/>
          <w:sz w:val="24"/>
          <w:szCs w:val="24"/>
        </w:rPr>
        <w:t xml:space="preserve">) que le confieren su sentido (Heidegger, 1927/2016; Dreyfus, 1991). En este mismo marco, el modelo predictivo no existe como objeto aislado susceptible de análisis puramente técnico, sino que adquiere sentido dentro de una red que incluye el problema de investigación, las variables psicoemocionales identificadas, el marco teórico, la hipótesis, la institución educativa y las decisiones de intervención que el modelo ha de informar.</w:t>
      </w:r>
    </w:p>
    <w:p>
      <w:pPr>
        <w:spacing w:after="160" w:line="276"/>
        <w:jc w:val="both"/>
      </w:pPr>
      <w:r>
        <w:rPr>
          <w:rFonts w:ascii="Times New Roman" w:cs="Times New Roman" w:eastAsia="Times New Roman" w:hAnsi="Times New Roman"/>
          <w:sz w:val="24"/>
          <w:szCs w:val="24"/>
        </w:rPr>
        <w:t xml:space="preserve">Heidegger distingue dos modos de ser del útil que resultan particularmente relevantes para comprender la naturaleza del instrumento epistemológico: la </w:t>
      </w:r>
      <w:r>
        <w:rPr>
          <w:rFonts w:ascii="Times New Roman" w:cs="Times New Roman" w:eastAsia="Times New Roman" w:hAnsi="Times New Roman"/>
          <w:i/>
          <w:iCs/>
          <w:sz w:val="24"/>
          <w:szCs w:val="24"/>
        </w:rPr>
        <w:t xml:space="preserve">Zuhandenheit</w:t>
      </w:r>
      <w:r>
        <w:rPr>
          <w:rFonts w:ascii="Times New Roman" w:cs="Times New Roman" w:eastAsia="Times New Roman" w:hAnsi="Times New Roman"/>
          <w:sz w:val="24"/>
          <w:szCs w:val="24"/>
        </w:rPr>
        <w:t xml:space="preserve"> ("a-la-mano") y la </w:t>
      </w:r>
      <w:r>
        <w:rPr>
          <w:rFonts w:ascii="Times New Roman" w:cs="Times New Roman" w:eastAsia="Times New Roman" w:hAnsi="Times New Roman"/>
          <w:i/>
          <w:iCs/>
          <w:sz w:val="24"/>
          <w:szCs w:val="24"/>
        </w:rPr>
        <w:t xml:space="preserve">Vorhandenheit</w:t>
      </w:r>
      <w:r>
        <w:rPr>
          <w:rFonts w:ascii="Times New Roman" w:cs="Times New Roman" w:eastAsia="Times New Roman" w:hAnsi="Times New Roman"/>
          <w:sz w:val="24"/>
          <w:szCs w:val="24"/>
        </w:rPr>
        <w:t xml:space="preserve"> ("ante-los-ojos" o "presencia-a-la-vista") (Heidegger, 1927/2016). El instrumento en estado </w:t>
      </w:r>
      <w:r>
        <w:rPr>
          <w:rFonts w:ascii="Times New Roman" w:cs="Times New Roman" w:eastAsia="Times New Roman" w:hAnsi="Times New Roman"/>
          <w:i/>
          <w:iCs/>
          <w:sz w:val="24"/>
          <w:szCs w:val="24"/>
        </w:rPr>
        <w:t xml:space="preserve">Zuhanden</w:t>
      </w:r>
      <w:r>
        <w:rPr>
          <w:rFonts w:ascii="Times New Roman" w:cs="Times New Roman" w:eastAsia="Times New Roman" w:hAnsi="Times New Roman"/>
          <w:sz w:val="24"/>
          <w:szCs w:val="24"/>
        </w:rPr>
        <w:t xml:space="preserve"> es aquel que funciona con transparencia en la práctica; el modelo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opera "a-la-mano" cuando el investigador y la institución lo utilizan para predecir riesgo, interpretar factores psicoemocionales y orientar decisiones sin necesidad de reflexionar sobre su estructura interna. Solo cuando el modelo falla, produce resultados inesperados o es sometido a evaluación crítica, emerge en modo </w:t>
      </w:r>
      <w:r>
        <w:rPr>
          <w:rFonts w:ascii="Times New Roman" w:cs="Times New Roman" w:eastAsia="Times New Roman" w:hAnsi="Times New Roman"/>
          <w:i/>
          <w:iCs/>
          <w:sz w:val="24"/>
          <w:szCs w:val="24"/>
        </w:rPr>
        <w:t xml:space="preserve">Vorhanden</w:t>
      </w:r>
      <w:r>
        <w:rPr>
          <w:rFonts w:ascii="Times New Roman" w:cs="Times New Roman" w:eastAsia="Times New Roman" w:hAnsi="Times New Roman"/>
          <w:sz w:val="24"/>
          <w:szCs w:val="24"/>
        </w:rPr>
        <w:t xml:space="preserve">, como objeto teórico que requiere análisis y reconsideración. Asimismo, esta distinción sugiere que la validación del modelo no puede limitarse a su revisión técnica, sino que implica una comprensión de su inserción en la práctica educativa situada.</w:t>
      </w:r>
    </w:p>
    <w:p>
      <w:pPr>
        <w:spacing w:after="160" w:line="276"/>
        <w:jc w:val="both"/>
      </w:pPr>
      <w:r>
        <w:rPr>
          <w:rFonts w:ascii="Times New Roman" w:cs="Times New Roman" w:eastAsia="Times New Roman" w:hAnsi="Times New Roman"/>
          <w:sz w:val="24"/>
          <w:szCs w:val="24"/>
        </w:rPr>
        <w:t xml:space="preserve">Por otro lado, la noción heideggeriana de </w:t>
      </w:r>
      <w:r>
        <w:rPr>
          <w:rFonts w:ascii="Times New Roman" w:cs="Times New Roman" w:eastAsia="Times New Roman" w:hAnsi="Times New Roman"/>
          <w:i/>
          <w:iCs/>
          <w:sz w:val="24"/>
          <w:szCs w:val="24"/>
        </w:rPr>
        <w:t xml:space="preserve">Gestell</w:t>
      </w:r>
      <w:r>
        <w:rPr>
          <w:rFonts w:ascii="Times New Roman" w:cs="Times New Roman" w:eastAsia="Times New Roman" w:hAnsi="Times New Roman"/>
          <w:sz w:val="24"/>
          <w:szCs w:val="24"/>
        </w:rPr>
        <w:t xml:space="preserve"> —el "dispositivo" o la "imposición" como modo moderno de entender la técnica— introduce una advertencia filosófica fundamental para la presente investigación (Heidegger, 1994). El </w:t>
      </w:r>
      <w:r>
        <w:rPr>
          <w:rFonts w:ascii="Times New Roman" w:cs="Times New Roman" w:eastAsia="Times New Roman" w:hAnsi="Times New Roman"/>
          <w:i/>
          <w:iCs/>
          <w:sz w:val="24"/>
          <w:szCs w:val="24"/>
        </w:rPr>
        <w:t xml:space="preserve">Gestell</w:t>
      </w:r>
      <w:r>
        <w:rPr>
          <w:rFonts w:ascii="Times New Roman" w:cs="Times New Roman" w:eastAsia="Times New Roman" w:hAnsi="Times New Roman"/>
          <w:sz w:val="24"/>
          <w:szCs w:val="24"/>
        </w:rPr>
        <w:t xml:space="preserve"> opera cuando la técnica transforma a los seres humanos en recursos calculables y disponibles para la optimización. Trasladado al ámbito educativo, este peligro se materializa cuando el modelo predictivo reduce al estudiante a un "caso de riesgo" cuantificable, despojándolo de su condición de sujeto en situación compleja, con una historia personal, dimensiones afectivas y una trayectoria existencial irreducible a un vector de variables (Feenberg, 2010; Selwyn, 2014). En consecuencia, la presente investigación asume explícitamente la responsabilidad de operar en el polo opuesto al </w:t>
      </w:r>
      <w:r>
        <w:rPr>
          <w:rFonts w:ascii="Times New Roman" w:cs="Times New Roman" w:eastAsia="Times New Roman" w:hAnsi="Times New Roman"/>
          <w:i/>
          <w:iCs/>
          <w:sz w:val="24"/>
          <w:szCs w:val="24"/>
        </w:rPr>
        <w:t xml:space="preserve">Gestell</w:t>
      </w:r>
      <w:r>
        <w:rPr>
          <w:rFonts w:ascii="Times New Roman" w:cs="Times New Roman" w:eastAsia="Times New Roman" w:hAnsi="Times New Roman"/>
          <w:sz w:val="24"/>
          <w:szCs w:val="24"/>
        </w:rPr>
        <w:t xml:space="preserve">: el modelo no pretende reemplazar el juicio pedagógico ni cosificar al estudiante, sino constituirse en un instrumento de apoyo que amplía la capacidad institucional de identificar, comprender e intervenir oportunamente.</w:t>
      </w:r>
    </w:p>
    <w:p>
      <w:pPr>
        <w:pStyle w:val="Heading3"/>
        <w:spacing w:after="100" w:before="200"/>
      </w:pPr>
      <w:r>
        <w:rPr>
          <w:rFonts w:ascii="Times New Roman" w:cs="Times New Roman" w:eastAsia="Times New Roman" w:hAnsi="Times New Roman"/>
          <w:b/>
          <w:bCs/>
          <w:i w:val="false"/>
          <w:iCs w:val="false"/>
          <w:sz w:val="24"/>
          <w:szCs w:val="24"/>
        </w:rPr>
        <w:t xml:space="preserve">3.13.3 La construcción mediada del conocimiento: aportes de Vygotski</w:t>
      </w:r>
    </w:p>
    <w:p>
      <w:pPr>
        <w:spacing w:after="160" w:line="276"/>
        <w:jc w:val="both"/>
      </w:pPr>
      <w:r>
        <w:rPr>
          <w:rFonts w:ascii="Times New Roman" w:cs="Times New Roman" w:eastAsia="Times New Roman" w:hAnsi="Times New Roman"/>
          <w:sz w:val="24"/>
          <w:szCs w:val="24"/>
        </w:rPr>
        <w:t xml:space="preserve">La teoría histórico-cultural del desarrollo psicológico, elaborada por Lev S. Vygotski (1979, 1995), ofrece una tercera perspectiva epistemológica que enriquece el marco filosófico de la presente investigación, particularmente a través del concepto de mediación semiótica e instrumental. Para Vygotski, toda función psicológica superior —incluyendo el pensamiento conceptual, la toma de decisiones y la construcción del conocimiento científico— está mediada por herramientas psicológicas que transforman cualitativamente la actividad cognitiva (Vygotski, 1979; Wertsch, 1991). En este sentido, los modelos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pueden concebirse como herramientas psicológicas de segundo orden: no solo procesan datos, sino que median la forma en que el investigador y la institución educativa conciben, clasifican e intervienen sobre el fenómeno del abandono escolar.</w:t>
      </w:r>
    </w:p>
    <w:p>
      <w:pPr>
        <w:spacing w:after="160" w:line="276"/>
        <w:jc w:val="both"/>
      </w:pPr>
      <w:r>
        <w:rPr>
          <w:rFonts w:ascii="Times New Roman" w:cs="Times New Roman" w:eastAsia="Times New Roman" w:hAnsi="Times New Roman"/>
          <w:sz w:val="24"/>
          <w:szCs w:val="24"/>
        </w:rPr>
        <w:t xml:space="preserve">De igual manera, el concepto de </w:t>
      </w:r>
      <w:r>
        <w:rPr>
          <w:rFonts w:ascii="Times New Roman" w:cs="Times New Roman" w:eastAsia="Times New Roman" w:hAnsi="Times New Roman"/>
          <w:i/>
          <w:iCs/>
          <w:sz w:val="24"/>
          <w:szCs w:val="24"/>
        </w:rPr>
        <w:t xml:space="preserve">zona de desarrollo próximo</w:t>
      </w:r>
      <w:r>
        <w:rPr>
          <w:rFonts w:ascii="Times New Roman" w:cs="Times New Roman" w:eastAsia="Times New Roman" w:hAnsi="Times New Roman"/>
          <w:sz w:val="24"/>
          <w:szCs w:val="24"/>
        </w:rPr>
        <w:t xml:space="preserve"> (ZDP) resulta operativo para comprender la dimensión institucional del instrumento (Vygotski, 1979). La ZDP describe el espacio entre lo que un sujeto puede realizar de forma autónoma y lo que puede lograr con el apoyo de una mediación adecuada; trasladado al plano institucional, el modelo predictivo funciona como mediación que permite a docentes, orientadores y directivos identificar riesgos que, sin el instrumento, difícilmente serían detectados con la oportunidad requerida (Daniels, 2001; Engeström, 1987). A partir de lo anterior, se comprende que el valor epistémico del modelo no reside únicamente en su capacidad de predicción estadística, sino en su función como amplificador de la capacidad de acción institucional sobre una realidad compleja, multifactorial y temporalmente dinámica.</w:t>
      </w:r>
    </w:p>
    <w:p>
      <w:pPr>
        <w:spacing w:after="160" w:line="276"/>
        <w:jc w:val="both"/>
      </w:pPr>
      <w:r>
        <w:rPr>
          <w:rFonts w:ascii="Times New Roman" w:cs="Times New Roman" w:eastAsia="Times New Roman" w:hAnsi="Times New Roman"/>
          <w:sz w:val="24"/>
          <w:szCs w:val="24"/>
        </w:rPr>
        <w:t xml:space="preserve">Sumado a esto, la perspectiva vygotskiana subraya que el conocimiento se construye siempre en un contexto sociocultural específico, lo cual cobra especial relevancia en la presente investigación, contextualizada en el sistema educativo mexicano de nivel medio superior y superior. Las variables psicoemocionales que nutren el modelo —autoeficacia académica, sentido de pertenencia, síntomas depresivos, motivación académica, apoyo social percibido e inteligencia emocional— no son categorías universales y descontextualizadas, sino construcciones socioculturales cuyo significado varía en función del contexto institucional, las relaciones pedagógicas y las condiciones materiales de los estudiantes (Vygotski, 1995; Rogoff, 2003). En consecuencia, la interpretación de los resultados del modelo debe realizarse siempre en articulación con el conocimiento situado de los actores institucionales, y nunca como dictamen técnico autónomo.</w:t>
      </w:r>
    </w:p>
    <w:p>
      <w:pPr>
        <w:pStyle w:val="Heading3"/>
        <w:spacing w:after="100" w:before="200"/>
      </w:pPr>
      <w:r>
        <w:rPr>
          <w:rFonts w:ascii="Times New Roman" w:cs="Times New Roman" w:eastAsia="Times New Roman" w:hAnsi="Times New Roman"/>
          <w:b/>
          <w:bCs/>
          <w:i w:val="false"/>
          <w:iCs w:val="false"/>
          <w:sz w:val="24"/>
          <w:szCs w:val="24"/>
        </w:rPr>
        <w:t xml:space="preserve">3.13.4 Síntesis integradora: el modelo de Stacking como dispositivo epistemotécnico</w:t>
      </w:r>
    </w:p>
    <w:p>
      <w:pPr>
        <w:spacing w:after="160" w:line="276"/>
        <w:jc w:val="both"/>
      </w:pPr>
      <w:r>
        <w:rPr>
          <w:rFonts w:ascii="Times New Roman" w:cs="Times New Roman" w:eastAsia="Times New Roman" w:hAnsi="Times New Roman"/>
          <w:sz w:val="24"/>
          <w:szCs w:val="24"/>
        </w:rPr>
        <w:t xml:space="preserve">La articulación de los tres marcos filosófico-epistemológicos revisados en los apartados anteriores permite proponer una caracterización del modelo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como lo que, siguiendo a Rabardel (1995) y retomando las implicaciones de Heidegger y Vygotski, podría denominarse un </w:t>
      </w:r>
      <w:r>
        <w:rPr>
          <w:rFonts w:ascii="Times New Roman" w:cs="Times New Roman" w:eastAsia="Times New Roman" w:hAnsi="Times New Roman"/>
          <w:i/>
          <w:iCs/>
          <w:sz w:val="24"/>
          <w:szCs w:val="24"/>
        </w:rPr>
        <w:t xml:space="preserve">dispositivo epistemotécnico</w:t>
      </w:r>
      <w:r>
        <w:rPr>
          <w:rFonts w:ascii="Times New Roman" w:cs="Times New Roman" w:eastAsia="Times New Roman" w:hAnsi="Times New Roman"/>
          <w:sz w:val="24"/>
          <w:szCs w:val="24"/>
        </w:rPr>
        <w:t xml:space="preserve">: un instrumento que no se limita a procesar información, sino que media, transforma y co-construye el conocimiento sobre la deserción escolar desde variables psicoemocionales. En este sentido, el conocimiento emergente de la investigación no es una representación especular de la realidad educativa, sino el resultado de una interacción dialéctica entre el investigador, los algoritmos, el marco teórico psicoemocional y el contexto institucional mexicano.</w:t>
      </w:r>
    </w:p>
    <w:p>
      <w:pPr>
        <w:spacing w:after="160" w:line="276"/>
        <w:jc w:val="both"/>
      </w:pPr>
      <w:r>
        <w:rPr>
          <w:rFonts w:ascii="Times New Roman" w:cs="Times New Roman" w:eastAsia="Times New Roman" w:hAnsi="Times New Roman"/>
          <w:sz w:val="24"/>
          <w:szCs w:val="24"/>
        </w:rPr>
        <w:t xml:space="preserve">Particularmente, esta síntesis filosófica tiene tres implicaciones metodológicas que estructuran el diseño de la investigación. En primer lugar, la validez del conocimiento producido no puede reducirse a criterios estadísticos, sino que implica coherencia entre el modelo teórico psicoemocional, el diseño instrumental y la interpretación contextualizada (Béguin y Rabardel, 2000). En segundo lugar, la interpretabilidad del modelo —garantizada mediante el uso de valores SHAP y la identificación de los factores de mayor importancia predictiva— no es un complemento técnico opcional, sino una exigencia epistemológica derivada del carácter mediado del conocimiento: la institución y el investigador deben poder comprender por qué el modelo produce las predicciones que produce, no solamente que las produzca con alta precisión (Lundberg y Lee, 2017). En tercer lugar, la inserción del modelo en prácticas educativas reales supone un proceso de </w:t>
      </w:r>
      <w:r>
        <w:rPr>
          <w:rFonts w:ascii="Times New Roman" w:cs="Times New Roman" w:eastAsia="Times New Roman" w:hAnsi="Times New Roman"/>
          <w:i/>
          <w:iCs/>
          <w:sz w:val="24"/>
          <w:szCs w:val="24"/>
        </w:rPr>
        <w:t xml:space="preserve">génesis instrumental</w:t>
      </w:r>
      <w:r>
        <w:rPr>
          <w:rFonts w:ascii="Times New Roman" w:cs="Times New Roman" w:eastAsia="Times New Roman" w:hAnsi="Times New Roman"/>
          <w:sz w:val="24"/>
          <w:szCs w:val="24"/>
        </w:rPr>
        <w:t xml:space="preserve"> continua, en el cual tanto el investigador como las instituciones irán transformando el artefacto —y siendo transformados por él— en el curso de su implementación, adaptación e interpretación (Rabardel y Bourmaud, 2003; Folcher y Rabardel, 2004).</w:t>
      </w:r>
    </w:p>
    <w:p>
      <w:pPr>
        <w:spacing w:after="160" w:line="276"/>
        <w:jc w:val="both"/>
      </w:pPr>
      <w:r>
        <w:rPr>
          <w:rFonts w:ascii="Times New Roman" w:cs="Times New Roman" w:eastAsia="Times New Roman" w:hAnsi="Times New Roman"/>
          <w:sz w:val="24"/>
          <w:szCs w:val="24"/>
        </w:rPr>
        <w:t xml:space="preserve">En consecuencia, la presente investigación se posiciona explícitamente en una epistemología postpositivista de orientación sociocognitiva (Guba y Lincoln, 1994; Creswell, 2014), que reconoce la dimensión constructiva del conocimiento sin renunciar al rigor metodológico ni a la validación empírica. El modelo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es, al mismo tiempo, un artefacto computacional formalmente riguroso y un instrumento epistemológico situado cuya validez se juega tanto en las métricas de rendimiento como en la coherencia entre su diseño, su fundamentación teórica y su capacidad de orientar decisiones institucionales pertinentes, oportunas y éticamente responsables en el sistema educativo mexicano.</w:t>
      </w:r>
    </w:p>
    <w:p>
      <w:pPr>
        <w:spacing w:after="40"/>
      </w:pPr>
      <w:r>
        <w:rPr>
          <w:rFonts w:ascii="Times New Roman" w:cs="Times New Roman" w:eastAsia="Times New Roman" w:hAnsi="Times New Roman"/>
          <w:sz w:val="24"/>
          <w:szCs w:val="24"/>
        </w:rPr>
        <w:t xml:space="preserve"/>
      </w:r>
    </w:p>
    <w:p>
      <w:pPr>
        <w:spacing w:after="120" w:before="320"/>
      </w:pPr>
      <w:r>
        <w:rPr>
          <w:rFonts w:ascii="Times New Roman" w:cs="Times New Roman" w:eastAsia="Times New Roman" w:hAnsi="Times New Roman"/>
          <w:b/>
          <w:bCs/>
          <w:sz w:val="24"/>
          <w:szCs w:val="24"/>
        </w:rPr>
        <w:t xml:space="preserve">Referencias del capítulo</w:t>
      </w:r>
    </w:p>
    <w:p>
      <w:pPr>
        <w:spacing w:after="120"/>
        <w:ind w:left="720" w:hanging="720"/>
        <w:jc w:val="both"/>
      </w:pPr>
      <w:r>
        <w:rPr>
          <w:rFonts w:ascii="Times New Roman" w:cs="Times New Roman" w:eastAsia="Times New Roman" w:hAnsi="Times New Roman"/>
          <w:sz w:val="24"/>
          <w:szCs w:val="24"/>
        </w:rPr>
        <w:t xml:space="preserve">Béguin, P., y Rabardel, P. (2000). Designing for instrument-mediated activity. Scandinavian Journal of Information Systems, 12, 173-190.</w:t>
      </w:r>
    </w:p>
    <w:p>
      <w:pPr>
        <w:spacing w:after="120"/>
        <w:ind w:left="720" w:hanging="720"/>
        <w:jc w:val="both"/>
      </w:pPr>
      <w:r>
        <w:rPr>
          <w:rFonts w:ascii="Times New Roman" w:cs="Times New Roman" w:eastAsia="Times New Roman" w:hAnsi="Times New Roman"/>
          <w:sz w:val="24"/>
          <w:szCs w:val="24"/>
        </w:rPr>
        <w:t xml:space="preserve">Creswell, J. W. (2014). Research design: Qualitative, quantitative, and mixed methods approaches (4.ª ed.). SAGE.</w:t>
      </w:r>
    </w:p>
    <w:p>
      <w:pPr>
        <w:spacing w:after="120"/>
        <w:ind w:left="720" w:hanging="720"/>
        <w:jc w:val="both"/>
      </w:pPr>
      <w:r>
        <w:rPr>
          <w:rFonts w:ascii="Times New Roman" w:cs="Times New Roman" w:eastAsia="Times New Roman" w:hAnsi="Times New Roman"/>
          <w:sz w:val="24"/>
          <w:szCs w:val="24"/>
        </w:rPr>
        <w:t xml:space="preserve">Daniels, H. (2001). Vygotsky and pedagogy. Routledge.</w:t>
      </w:r>
    </w:p>
    <w:p>
      <w:pPr>
        <w:spacing w:after="120"/>
        <w:ind w:left="720" w:hanging="720"/>
        <w:jc w:val="both"/>
      </w:pPr>
      <w:r>
        <w:rPr>
          <w:rFonts w:ascii="Times New Roman" w:cs="Times New Roman" w:eastAsia="Times New Roman" w:hAnsi="Times New Roman"/>
          <w:sz w:val="24"/>
          <w:szCs w:val="24"/>
        </w:rPr>
        <w:t xml:space="preserve">Dreyfus, H. L. (1991). Being-in-the-world: A commentary on Heidegger's Being and Time, Division I. MIT Press.</w:t>
      </w:r>
    </w:p>
    <w:p>
      <w:pPr>
        <w:spacing w:after="120"/>
        <w:ind w:left="720" w:hanging="720"/>
        <w:jc w:val="both"/>
      </w:pPr>
      <w:r>
        <w:rPr>
          <w:rFonts w:ascii="Times New Roman" w:cs="Times New Roman" w:eastAsia="Times New Roman" w:hAnsi="Times New Roman"/>
          <w:sz w:val="24"/>
          <w:szCs w:val="24"/>
        </w:rPr>
        <w:t xml:space="preserve">Engeström, Y. (1987). Learning by expanding: An activity-theoretical approach to developmental research. Orienta-Konsultit.</w:t>
      </w:r>
    </w:p>
    <w:p>
      <w:pPr>
        <w:spacing w:after="120"/>
        <w:ind w:left="720" w:hanging="720"/>
        <w:jc w:val="both"/>
      </w:pPr>
      <w:r>
        <w:rPr>
          <w:rFonts w:ascii="Times New Roman" w:cs="Times New Roman" w:eastAsia="Times New Roman" w:hAnsi="Times New Roman"/>
          <w:sz w:val="24"/>
          <w:szCs w:val="24"/>
        </w:rPr>
        <w:t xml:space="preserve">Feenberg, A. (2010). Between reason and experience: Essays in technology and modernity. MIT Press.</w:t>
      </w:r>
    </w:p>
    <w:p>
      <w:pPr>
        <w:spacing w:after="120"/>
        <w:ind w:left="720" w:hanging="720"/>
        <w:jc w:val="both"/>
      </w:pPr>
      <w:r>
        <w:rPr>
          <w:rFonts w:ascii="Times New Roman" w:cs="Times New Roman" w:eastAsia="Times New Roman" w:hAnsi="Times New Roman"/>
          <w:sz w:val="24"/>
          <w:szCs w:val="24"/>
        </w:rPr>
        <w:t xml:space="preserve">Folcher, V., y Rabardel, P. (2004). Hommes, artefacts, activités: Perspective instrumentale. En P. Falzon (Ed.), Ergonomie (pp. 251-268). Presses Universitaires de France.</w:t>
      </w:r>
    </w:p>
    <w:p>
      <w:pPr>
        <w:spacing w:after="120"/>
        <w:ind w:left="720" w:hanging="720"/>
        <w:jc w:val="both"/>
      </w:pPr>
      <w:r>
        <w:rPr>
          <w:rFonts w:ascii="Times New Roman" w:cs="Times New Roman" w:eastAsia="Times New Roman" w:hAnsi="Times New Roman"/>
          <w:sz w:val="24"/>
          <w:szCs w:val="24"/>
        </w:rPr>
        <w:t xml:space="preserve">Guba, E. G., y Lincoln, Y. S. (1994). Competing paradigms in qualitative research. En N. K. Denzin y Y. S. Lincoln (Eds.), Handbook of qualitative research (pp. 105-117). SAGE.</w:t>
      </w:r>
    </w:p>
    <w:p>
      <w:pPr>
        <w:spacing w:after="120"/>
        <w:ind w:left="720" w:hanging="720"/>
        <w:jc w:val="both"/>
      </w:pPr>
      <w:r>
        <w:rPr>
          <w:rFonts w:ascii="Times New Roman" w:cs="Times New Roman" w:eastAsia="Times New Roman" w:hAnsi="Times New Roman"/>
          <w:sz w:val="24"/>
          <w:szCs w:val="24"/>
        </w:rPr>
        <w:t xml:space="preserve">Heidegger, M. (1994). La pregunta por la técnica. En Conferencias y artículos (E. Barjau, Trad.; pp. 9-37). Serbal. (Obra original publicada en 1954)</w:t>
      </w:r>
    </w:p>
    <w:p>
      <w:pPr>
        <w:spacing w:after="120"/>
        <w:ind w:left="720" w:hanging="720"/>
        <w:jc w:val="both"/>
      </w:pPr>
      <w:r>
        <w:rPr>
          <w:rFonts w:ascii="Times New Roman" w:cs="Times New Roman" w:eastAsia="Times New Roman" w:hAnsi="Times New Roman"/>
          <w:sz w:val="24"/>
          <w:szCs w:val="24"/>
        </w:rPr>
        <w:t xml:space="preserve">Heidegger, M. (2016). Ser y tiempo (J. E. Rivera, Trad.). Trotta. (Obra original publicada en 1927)</w:t>
      </w:r>
    </w:p>
    <w:p>
      <w:pPr>
        <w:spacing w:after="120"/>
        <w:ind w:left="720" w:hanging="720"/>
        <w:jc w:val="both"/>
      </w:pPr>
      <w:r>
        <w:rPr>
          <w:rFonts w:ascii="Times New Roman" w:cs="Times New Roman" w:eastAsia="Times New Roman" w:hAnsi="Times New Roman"/>
          <w:sz w:val="24"/>
          <w:szCs w:val="24"/>
        </w:rPr>
        <w:t xml:space="preserve">Lonchamp, J. (2012). An instrumental perspective on CSCL systems. International Journal of Computer-Supported Collaborative Learning, 7(2), 211-237.</w:t>
      </w:r>
    </w:p>
    <w:p>
      <w:pPr>
        <w:spacing w:after="120"/>
        <w:ind w:left="720" w:hanging="720"/>
        <w:jc w:val="both"/>
      </w:pPr>
      <w:r>
        <w:rPr>
          <w:rFonts w:ascii="Times New Roman" w:cs="Times New Roman" w:eastAsia="Times New Roman" w:hAnsi="Times New Roman"/>
          <w:sz w:val="24"/>
          <w:szCs w:val="24"/>
        </w:rPr>
        <w:t xml:space="preserve">Lundberg, S. M., y Lee, S.-I. (2017). A unified approach to interpreting model predictions. Advances in Neural Information Processing Systems, 30, 4765-4774.</w:t>
      </w:r>
    </w:p>
    <w:p>
      <w:pPr>
        <w:spacing w:after="120"/>
        <w:ind w:left="720" w:hanging="720"/>
        <w:jc w:val="both"/>
      </w:pPr>
      <w:r>
        <w:rPr>
          <w:rFonts w:ascii="Times New Roman" w:cs="Times New Roman" w:eastAsia="Times New Roman" w:hAnsi="Times New Roman"/>
          <w:sz w:val="24"/>
          <w:szCs w:val="24"/>
        </w:rPr>
        <w:t xml:space="preserve">Rabardel, P. (1995). Les hommes et les technologies: Approche cognitive des instruments contemporains. Armand Colin.</w:t>
      </w:r>
    </w:p>
    <w:p>
      <w:pPr>
        <w:spacing w:after="120"/>
        <w:ind w:left="720" w:hanging="720"/>
        <w:jc w:val="both"/>
      </w:pPr>
      <w:r>
        <w:rPr>
          <w:rFonts w:ascii="Times New Roman" w:cs="Times New Roman" w:eastAsia="Times New Roman" w:hAnsi="Times New Roman"/>
          <w:sz w:val="24"/>
          <w:szCs w:val="24"/>
        </w:rPr>
        <w:t xml:space="preserve">Rabardel, P., y Bourmaud, G. (2003). From computer to instrument system: A developmental perspective. Interacting with Computers, 15(5), 665-691.</w:t>
      </w:r>
    </w:p>
    <w:p>
      <w:pPr>
        <w:spacing w:after="120"/>
        <w:ind w:left="720" w:hanging="720"/>
        <w:jc w:val="both"/>
      </w:pPr>
      <w:r>
        <w:rPr>
          <w:rFonts w:ascii="Times New Roman" w:cs="Times New Roman" w:eastAsia="Times New Roman" w:hAnsi="Times New Roman"/>
          <w:sz w:val="24"/>
          <w:szCs w:val="24"/>
        </w:rPr>
        <w:t xml:space="preserve">Rogoff, B. (2003). The cultural nature of human development. Oxford University Press.</w:t>
      </w:r>
    </w:p>
    <w:p>
      <w:pPr>
        <w:spacing w:after="120"/>
        <w:ind w:left="720" w:hanging="720"/>
        <w:jc w:val="both"/>
      </w:pPr>
      <w:r>
        <w:rPr>
          <w:rFonts w:ascii="Times New Roman" w:cs="Times New Roman" w:eastAsia="Times New Roman" w:hAnsi="Times New Roman"/>
          <w:sz w:val="24"/>
          <w:szCs w:val="24"/>
        </w:rPr>
        <w:t xml:space="preserve">Selwyn, N. (2014). Distrusting educational technology: Critical questions for changing times. Routledge.</w:t>
      </w:r>
    </w:p>
    <w:p>
      <w:pPr>
        <w:spacing w:after="120"/>
        <w:ind w:left="720" w:hanging="720"/>
        <w:jc w:val="both"/>
      </w:pPr>
      <w:r>
        <w:rPr>
          <w:rFonts w:ascii="Times New Roman" w:cs="Times New Roman" w:eastAsia="Times New Roman" w:hAnsi="Times New Roman"/>
          <w:sz w:val="24"/>
          <w:szCs w:val="24"/>
        </w:rPr>
        <w:t xml:space="preserve">Vygotski, L. S. (1979). El desarrollo de los procesos psicológicos superiores (M. Cole, V. John-Steiner, S. Scribner y E. Souberman, Eds.; S. Furió, Trad.). Crítica.</w:t>
      </w:r>
    </w:p>
    <w:p>
      <w:pPr>
        <w:spacing w:after="120"/>
        <w:ind w:left="720" w:hanging="720"/>
        <w:jc w:val="both"/>
      </w:pPr>
      <w:r>
        <w:rPr>
          <w:rFonts w:ascii="Times New Roman" w:cs="Times New Roman" w:eastAsia="Times New Roman" w:hAnsi="Times New Roman"/>
          <w:sz w:val="24"/>
          <w:szCs w:val="24"/>
        </w:rPr>
        <w:t xml:space="preserve">Vygotski, L. S. (1995). Pensamiento y lenguaje (A. Kozulin, Ed.; E. Abadía, Trad.). Paidós. (Obra original publicada en 1934)</w:t>
      </w:r>
    </w:p>
    <w:p>
      <w:pPr>
        <w:spacing w:after="120"/>
        <w:ind w:left="720" w:hanging="720"/>
        <w:jc w:val="both"/>
      </w:pPr>
      <w:r>
        <w:rPr>
          <w:rFonts w:ascii="Times New Roman" w:cs="Times New Roman" w:eastAsia="Times New Roman" w:hAnsi="Times New Roman"/>
          <w:sz w:val="24"/>
          <w:szCs w:val="24"/>
        </w:rPr>
        <w:t xml:space="preserve">Wertsch, J. V. (1991). Voices of the mind: A sociocultural approach to mediated action. Harvard University Press.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2026-04-10T17:42:43.924Z</dcterms:created>
  <dcterms:modified xsi:type="dcterms:W3CDTF">2026-04-10T17:42:43.925Z</dcterms:modified>
</cp:coreProperties>
</file>

<file path=docProps/custom.xml><?xml version="1.0" encoding="utf-8"?>
<Properties xmlns="http://schemas.openxmlformats.org/officeDocument/2006/custom-properties" xmlns:vt="http://schemas.openxmlformats.org/officeDocument/2006/docPropsVTypes"/>
</file>