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line="480"/>
        <w:jc w:val="center"/>
      </w:pPr>
      <w:r>
        <w:rPr>
          <w:rFonts w:ascii="Times New Roman" w:cs="Times New Roman" w:eastAsia="Times New Roman" w:hAnsi="Times New Roman"/>
          <w:b/>
          <w:bCs/>
          <w:sz w:val="28"/>
          <w:szCs w:val="28"/>
        </w:rPr>
        <w:t xml:space="preserve">I. INTRODUCCIÓN</w:t>
      </w:r>
    </w:p>
    <w:p>
      <w:pPr>
        <w:spacing w:before="0" w:after="2880" w:line="480"/>
        <w:jc w:val="center"/>
      </w:pPr>
      <w:r>
        <w:rPr>
          <w:rFonts w:ascii="Times New Roman" w:cs="Times New Roman" w:eastAsia="Times New Roman" w:hAnsi="Times New Roman"/>
          <w:i/>
          <w:iCs/>
          <w:color w:val="595959"/>
          <w:sz w:val="20"/>
          <w:szCs w:val="20"/>
        </w:rPr>
        <w:t xml:space="preserve">Capítulo revisado y mejorado — Versión 1.0</w:t>
      </w:r>
    </w:p>
    <w:p>
      <w:pPr>
        <w:spacing w:line="480" w:before="480" w:after="240"/>
        <w:jc w:val="center"/>
      </w:pPr>
      <w:r>
        <w:rPr>
          <w:rFonts w:ascii="Times New Roman" w:cs="Times New Roman" w:eastAsia="Times New Roman" w:hAnsi="Times New Roman"/>
          <w:b/>
          <w:bCs/>
          <w:sz w:val="24"/>
          <w:szCs w:val="24"/>
        </w:rPr>
        <w:t xml:space="preserve">I. INTRODUCCIÓN</w:t>
      </w:r>
    </w:p>
    <w:p>
      <w:pPr>
        <w:spacing w:line="480" w:before="0" w:after="200"/>
        <w:ind w:firstLine="720"/>
        <w:jc w:val="both"/>
      </w:pPr>
      <w:r>
        <w:rPr>
          <w:rFonts w:ascii="Times New Roman" w:cs="Times New Roman" w:eastAsia="Times New Roman" w:hAnsi="Times New Roman"/>
          <w:sz w:val="24"/>
          <w:szCs w:val="24"/>
        </w:rPr>
        <w:t xml:space="preserve">La deserción escolar constituye uno de los desafíos más persistentes y complejos que enfrentan los sistemas educativos a nivel mundial. Según estimaciones de la UNESCO (2023), más de 244 millones de niños y jóvenes en edad escolar permanecen fuera del sistema educativo, cifra que se agrava de manera significativa en contextos de vulnerabilidad socioeconómica. En América Latina, la problemática adquiere dimensiones críticas: México, con una tasa de abandono en educación media superior cercana al 30.9% en el ciclo escolar 2024-2025, refleja una brecha estructural que las políticas educativas convencionales no han logrado cerrar de manera efectiva (Secretaría de Educación Pública [SEP], 2024). Este fenómeno multicausal afecta no solo el desarrollo individual de los estudiantes, sino también el capital humano y la cohesión social de las comunidades (Berumen et al., 2023; Sarango et al., 2023).</w:t>
      </w:r>
    </w:p>
    <w:p>
      <w:pPr>
        <w:spacing w:line="480" w:before="0" w:after="200"/>
        <w:ind w:firstLine="720"/>
        <w:jc w:val="both"/>
      </w:pPr>
      <w:r>
        <w:rPr>
          <w:rFonts w:ascii="Times New Roman" w:cs="Times New Roman" w:eastAsia="Times New Roman" w:hAnsi="Times New Roman"/>
          <w:sz w:val="24"/>
          <w:szCs w:val="24"/>
        </w:rPr>
        <w:t xml:space="preserve">Ante esta realidad, el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sz w:val="24"/>
          <w:szCs w:val="24"/>
        </w:rPr>
        <w:t xml:space="preserve"> (ML) ha emergido como una herramienta metodológica de alto potencial para la identificación temprana de estudiantes en riesgo de abandono escolar. Los modelos predictivos basados en ML permiten analizar grandes volúmenes de datos y detectar patrones complejos asociados al riesgo de deserción, ofreciendo a las instituciones educativas información oportuna para diseñar intervenciones preventivas y personalizadas (Kemper et al., 2020; Azeem et al., 2019). Sin embargo, la gran mayoría de las investigaciones en este campo se ha centrado exclusivamente en variables académicas —como el rendimiento en exámenes, las tasas de asistencia y el historial de calificaciones—, sin incorporar las dimensiones psicoemocionales que, de manera creciente, han demostrado ser determinantes en las trayectorias de permanencia o abandono de los estudiantes (Maher &amp; Haegele, 2024; Bulut et al., 2024).</w:t>
      </w:r>
    </w:p>
    <w:p>
      <w:pPr>
        <w:spacing w:line="480" w:before="0" w:after="200"/>
        <w:ind w:firstLine="720"/>
        <w:jc w:val="both"/>
      </w:pPr>
      <w:r>
        <w:rPr>
          <w:rFonts w:ascii="Times New Roman" w:cs="Times New Roman" w:eastAsia="Times New Roman" w:hAnsi="Times New Roman"/>
          <w:sz w:val="24"/>
          <w:szCs w:val="24"/>
        </w:rPr>
        <w:t xml:space="preserve">En este sentido, variables como la autoeficacia académica, el sentido de pertenencia institucional, los síntomas depresivos, la motivación intrínseca, el apoyo social percibido y la inteligencia emocional configuran un conjunto de indicadores subjetivos cuya ausencia en los modelos predictivos convencionales representa una limitación sustancial (Terrón et al., 2023; De Ridder et al., 2013). Esta brecha en la literatura científica constituye el punto de partida de la presente investigación, que propone el desarrollo de un modelo predictivo de </w:t>
      </w:r>
      <w:r>
        <w:rPr>
          <w:rFonts w:ascii="Times New Roman" w:cs="Times New Roman" w:eastAsia="Times New Roman" w:hAnsi="Times New Roman"/>
          <w:i/>
          <w:iCs/>
          <w:sz w:val="24"/>
          <w:szCs w:val="24"/>
        </w:rPr>
        <w:t xml:space="preserve">stacking</w:t>
      </w:r>
      <w:r>
        <w:rPr>
          <w:rFonts w:ascii="Times New Roman" w:cs="Times New Roman" w:eastAsia="Times New Roman" w:hAnsi="Times New Roman"/>
          <w:sz w:val="24"/>
          <w:szCs w:val="24"/>
        </w:rPr>
        <w:t xml:space="preserve"> compuesto —integrando </w:t>
      </w:r>
      <w:r>
        <w:rPr>
          <w:rFonts w:ascii="Times New Roman" w:cs="Times New Roman" w:eastAsia="Times New Roman" w:hAnsi="Times New Roman"/>
          <w:i/>
          <w:iCs/>
          <w:sz w:val="24"/>
          <w:szCs w:val="24"/>
        </w:rPr>
        <w:t xml:space="preserve">Random Forest</w:t>
      </w:r>
      <w:r>
        <w:rPr>
          <w:rFonts w:ascii="Times New Roman" w:cs="Times New Roman" w:eastAsia="Times New Roman" w:hAnsi="Times New Roman"/>
          <w:sz w:val="24"/>
          <w:szCs w:val="24"/>
        </w:rPr>
        <w:t xml:space="preserve">, XGBoost, </w:t>
      </w:r>
      <w:r>
        <w:rPr>
          <w:rFonts w:ascii="Times New Roman" w:cs="Times New Roman" w:eastAsia="Times New Roman" w:hAnsi="Times New Roman"/>
          <w:i/>
          <w:iCs/>
          <w:sz w:val="24"/>
          <w:szCs w:val="24"/>
        </w:rPr>
        <w:t xml:space="preserve">Gradient Boosting</w:t>
      </w:r>
      <w:r>
        <w:rPr>
          <w:rFonts w:ascii="Times New Roman" w:cs="Times New Roman" w:eastAsia="Times New Roman" w:hAnsi="Times New Roman"/>
          <w:sz w:val="24"/>
          <w:szCs w:val="24"/>
        </w:rPr>
        <w:t xml:space="preserve"> y una Red Neuronal de Alimentación Directa (</w:t>
      </w:r>
      <w:r>
        <w:rPr>
          <w:rFonts w:ascii="Times New Roman" w:cs="Times New Roman" w:eastAsia="Times New Roman" w:hAnsi="Times New Roman"/>
          <w:i/>
          <w:iCs/>
          <w:sz w:val="24"/>
          <w:szCs w:val="24"/>
        </w:rPr>
        <w:t xml:space="preserve">Feedforward Neural Network</w:t>
      </w:r>
      <w:r>
        <w:rPr>
          <w:rFonts w:ascii="Times New Roman" w:cs="Times New Roman" w:eastAsia="Times New Roman" w:hAnsi="Times New Roman"/>
          <w:sz w:val="24"/>
          <w:szCs w:val="24"/>
        </w:rPr>
        <w:t xml:space="preserve">)— capaz de incorporar variables psicoemocionales medidas a través de un instrumento diseñado específicamente para el contexto de la educación superior en Querétaro, México.</w:t>
      </w:r>
    </w:p>
    <w:p>
      <w:pPr>
        <w:spacing w:line="480" w:before="0" w:after="200"/>
        <w:ind w:firstLine="720"/>
        <w:jc w:val="both"/>
      </w:pPr>
      <w:r>
        <w:rPr>
          <w:rFonts w:ascii="Times New Roman" w:cs="Times New Roman" w:eastAsia="Times New Roman" w:hAnsi="Times New Roman"/>
          <w:sz w:val="24"/>
          <w:szCs w:val="24"/>
        </w:rPr>
        <w:t xml:space="preserve">La presente tesis se organiza en los siguientes apartados: el Capítulo I presenta la introducción, la descripción del problema y la justificación de la investigación; el Capítulo II desarrolla los antecedentes teóricos y empíricos relevantes; el Capítulo III establece la fundamentación teórica que sustenta el estudio; el Capítulo IV expone la hipótesis y los objetivos; el Capítulo V describe el método y la estrategia metodológica empleada; y el Capítulo VI reportará los resultados, la discusión y las conclusiones derivadas del proceso investigativo.</w:t>
      </w:r>
    </w:p>
    <w:p>
      <w:pPr>
        <w:spacing w:line="480" w:before="360" w:after="200"/>
        <w:jc w:val="both"/>
      </w:pPr>
      <w:r>
        <w:rPr>
          <w:rFonts w:ascii="Times New Roman" w:cs="Times New Roman" w:eastAsia="Times New Roman" w:hAnsi="Times New Roman"/>
          <w:b/>
          <w:bCs/>
          <w:i/>
          <w:iCs/>
          <w:sz w:val="24"/>
          <w:szCs w:val="24"/>
        </w:rPr>
        <w:t xml:space="preserve">1.1 Descripción del Problema</w:t>
      </w:r>
    </w:p>
    <w:p>
      <w:pPr>
        <w:spacing w:line="480" w:before="0" w:after="200"/>
        <w:ind w:firstLine="720"/>
        <w:jc w:val="both"/>
      </w:pPr>
      <w:r>
        <w:rPr>
          <w:rFonts w:ascii="Times New Roman" w:cs="Times New Roman" w:eastAsia="Times New Roman" w:hAnsi="Times New Roman"/>
          <w:sz w:val="24"/>
          <w:szCs w:val="24"/>
        </w:rPr>
        <w:t xml:space="preserve">La deserción escolar es un fenómeno multidimensional cuya comprensión requiere trascender las explicaciones centradas únicamente en el rendimiento académico o las condiciones socioeconómicas del estudiante. Como señalan Miranda-Medina y González (2021), la deserción implica la interacción dinámica de factores escolares, sociales, familiares e individuales que, en conjunto, erosionan la vinculación del estudiante con el sistema educativo. En México, durante el ciclo escolar 2024-2025, se estima que 994,219 estudiantes abandonaron la educación media superior, evidenciando la urgencia de intervenciones que trasciendan los enfoques correctivos y transiten hacia estrategias de identificación y prevención tempranas (Educación con Rumbo, 2025). En el nivel de educación superior, la problemática persiste con tasas que varían considerablemente según el tipo de institución, la región geográfica y el perfil socioeconómico de la población atendida.</w:t>
      </w:r>
    </w:p>
    <w:p>
      <w:pPr>
        <w:spacing w:line="480" w:before="0" w:after="200"/>
        <w:ind w:firstLine="720"/>
        <w:jc w:val="both"/>
      </w:pPr>
      <w:r>
        <w:rPr>
          <w:rFonts w:ascii="Times New Roman" w:cs="Times New Roman" w:eastAsia="Times New Roman" w:hAnsi="Times New Roman"/>
          <w:sz w:val="24"/>
          <w:szCs w:val="24"/>
        </w:rPr>
        <w:t xml:space="preserve">Los estudios realizados en el ámbito latinoamericano apuntan de manera consistente hacia la coexistencia de múltiples factores de riesgo. Pachay-López et al. (2021) identifican que la desmotivación, la percepción de bajo apoyo institucional y las condiciones socioeconómicas adversas constituyen los principales predictores del abandono escolar en la región. Por otro lado, investigaciones recientes subrayan que los factores psicoemocionales —particularmente los relacionados con la salud mental, la autoeficacia académica y el sentido de pertenencia— son predictores tan relevantes como los indicadores académicos tradicionales, especialmente en el contexto posterior a la pandemia por COVID-19 (Bulut et al., 2024; Herreño-Munera, 2024). Cabe destacar que dicho contexto agudizó de manera significativa este panorama: en México, 5.2 millones de estudiantes no se reincorporaron al sistema educativo durante el ciclo 2020-2021, dejando al descubierto la fragilidad de los vínculos institucionales y la insuficiencia de las redes de apoyo existentes.</w:t>
      </w:r>
    </w:p>
    <w:p>
      <w:pPr>
        <w:spacing w:line="480" w:before="0" w:after="200"/>
        <w:ind w:firstLine="720"/>
        <w:jc w:val="both"/>
      </w:pPr>
      <w:r>
        <w:rPr>
          <w:rFonts w:ascii="Times New Roman" w:cs="Times New Roman" w:eastAsia="Times New Roman" w:hAnsi="Times New Roman"/>
          <w:sz w:val="24"/>
          <w:szCs w:val="24"/>
        </w:rPr>
        <w:t xml:space="preserve">A pesar del avance significativo registrado en la aplicación del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sz w:val="24"/>
          <w:szCs w:val="24"/>
        </w:rPr>
        <w:t xml:space="preserve"> para la predicción de la deserción escolar, la mayoría de los modelos desarrollados hasta la fecha operan con variables de carácter académico y administrativo, como calificaciones, tasas de asistencia y resultados de exámenes estandarizados (Sanusi et al., 2021; Azeem et al., 2019). Si bien estos modelos han alcanzado altos niveles de precisión predictiva —como el estudio de Kemper et al. (2020) en el Karlsruhe Institute of Technology (KIT), que reportó una precisión superior al 95% tras tres semestres de seguimiento—, su capacidad explicativa queda limitada al no considerar las dimensiones subjetivas del bienestar estudiantil. En consecuencia, las instituciones que adoptan estas herramientas disponen de sistemas que señalan el riesgo, pero que no ofrecen información suficiente sobre las causas psicoemocionales subyacentes que podrían orientar intervenciones más efectivas y contextualizadas.</w:t>
      </w:r>
    </w:p>
    <w:p>
      <w:pPr>
        <w:spacing w:line="480" w:before="0" w:after="200"/>
        <w:ind w:firstLine="720"/>
        <w:jc w:val="both"/>
      </w:pPr>
      <w:r>
        <w:rPr>
          <w:rFonts w:ascii="Times New Roman" w:cs="Times New Roman" w:eastAsia="Times New Roman" w:hAnsi="Times New Roman"/>
          <w:sz w:val="24"/>
          <w:szCs w:val="24"/>
        </w:rPr>
        <w:t xml:space="preserve">Lo anterior conduce a la formulación del problema central de esta investigación: ¿En qué medida un modelo predictivo basado en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sz w:val="24"/>
          <w:szCs w:val="24"/>
        </w:rPr>
        <w:t xml:space="preserve"> de </w:t>
      </w:r>
      <w:r>
        <w:rPr>
          <w:rFonts w:ascii="Times New Roman" w:cs="Times New Roman" w:eastAsia="Times New Roman" w:hAnsi="Times New Roman"/>
          <w:i/>
          <w:iCs/>
          <w:sz w:val="24"/>
          <w:szCs w:val="24"/>
        </w:rPr>
        <w:t xml:space="preserve">stacking</w:t>
      </w:r>
      <w:r>
        <w:rPr>
          <w:rFonts w:ascii="Times New Roman" w:cs="Times New Roman" w:eastAsia="Times New Roman" w:hAnsi="Times New Roman"/>
          <w:sz w:val="24"/>
          <w:szCs w:val="24"/>
        </w:rPr>
        <w:t xml:space="preserve"> compuesto, que integra variables psicoemocionales junto con indicadores académicos y sociodemográficos, mejora la identificación temprana de estudiantes en riesgo de deserción escolar en instituciones de educación superior del estado de Querétaro? Esta pregunta se deriva de la identificación de una brecha específica en la literatura científica: la ausencia de modelos predictivos que combinen, de manera sistemática y con validación psicométrica rigurosa, técnicas de aprendizaje automático de alto rendimiento con instrumentos de medición psicoemocional diseñados para el contexto educativo latinoamericano.</w:t>
      </w:r>
    </w:p>
    <w:p>
      <w:pPr>
        <w:spacing w:line="480" w:before="360" w:after="200"/>
        <w:jc w:val="both"/>
      </w:pPr>
      <w:r>
        <w:rPr>
          <w:rFonts w:ascii="Times New Roman" w:cs="Times New Roman" w:eastAsia="Times New Roman" w:hAnsi="Times New Roman"/>
          <w:b/>
          <w:bCs/>
          <w:i/>
          <w:iCs/>
          <w:sz w:val="24"/>
          <w:szCs w:val="24"/>
        </w:rPr>
        <w:t xml:space="preserve">1.2 Justificación</w:t>
      </w:r>
    </w:p>
    <w:p>
      <w:pPr>
        <w:spacing w:line="480" w:before="0" w:after="200"/>
        <w:ind w:firstLine="720"/>
        <w:jc w:val="both"/>
      </w:pPr>
      <w:r>
        <w:rPr>
          <w:rFonts w:ascii="Times New Roman" w:cs="Times New Roman" w:eastAsia="Times New Roman" w:hAnsi="Times New Roman"/>
          <w:sz w:val="24"/>
          <w:szCs w:val="24"/>
        </w:rPr>
        <w:t xml:space="preserve">La relevancia científica de la presente investigación se fundamenta en la necesidad de superar las limitaciones de los modelos predictivos convencionales mediante la incorporación de variables psicoemocionales como dimensiones estructurales del análisis del riesgo de deserción. La literatura especializada ha documentado de manera consistente que factores como el bienestar emocional, la autoeficacia académica, el sentido de pertenencia y el apoyo social percibido predicen de forma significativa la permanencia estudiantil (Bulut et al., 2024; De Ridder et al., 2013; Maher &amp; Haegele, 2024). Asimismo, la Secretaría de Educación Pública (2022) reconoce que la tasa de deserción en México aún supera el promedio de los países de la OCDE, lo que subraya la necesidad de herramientas diagnósticas más precisas y sensibles al contexto. Sin embargo, la integración de estas variables en modelos formales de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sz w:val="24"/>
          <w:szCs w:val="24"/>
        </w:rPr>
        <w:t xml:space="preserve">, con rigor metodológico y validación psicométrica, constituye un territorio escasamente explorado en el ámbito mexicano y latinoamericano. La presente investigación busca contribuir a cubrir este vacío mediante el diseño, validación y aplicación de un instrumento de medición psicoemocional de 165 ítems, estructurado en seis dimensiones teóricamente fundamentadas.</w:t>
      </w:r>
    </w:p>
    <w:p>
      <w:pPr>
        <w:spacing w:line="480" w:before="0" w:after="200"/>
        <w:ind w:firstLine="720"/>
        <w:jc w:val="both"/>
      </w:pPr>
      <w:r>
        <w:rPr>
          <w:rFonts w:ascii="Times New Roman" w:cs="Times New Roman" w:eastAsia="Times New Roman" w:hAnsi="Times New Roman"/>
          <w:sz w:val="24"/>
          <w:szCs w:val="24"/>
        </w:rPr>
        <w:t xml:space="preserve">Desde el punto de vista metodológico, la investigación propone una arquitectura de </w:t>
      </w:r>
      <w:r>
        <w:rPr>
          <w:rFonts w:ascii="Times New Roman" w:cs="Times New Roman" w:eastAsia="Times New Roman" w:hAnsi="Times New Roman"/>
          <w:i/>
          <w:iCs/>
          <w:sz w:val="24"/>
          <w:szCs w:val="24"/>
        </w:rPr>
        <w:t xml:space="preserve">stacking</w:t>
      </w:r>
      <w:r>
        <w:rPr>
          <w:rFonts w:ascii="Times New Roman" w:cs="Times New Roman" w:eastAsia="Times New Roman" w:hAnsi="Times New Roman"/>
          <w:sz w:val="24"/>
          <w:szCs w:val="24"/>
        </w:rPr>
        <w:t xml:space="preserve"> compuesto que combina tres algoritmos de base —</w:t>
      </w:r>
      <w:r>
        <w:rPr>
          <w:rFonts w:ascii="Times New Roman" w:cs="Times New Roman" w:eastAsia="Times New Roman" w:hAnsi="Times New Roman"/>
          <w:i/>
          <w:iCs/>
          <w:sz w:val="24"/>
          <w:szCs w:val="24"/>
        </w:rPr>
        <w:t xml:space="preserve">Random Forest</w:t>
      </w:r>
      <w:r>
        <w:rPr>
          <w:rFonts w:ascii="Times New Roman" w:cs="Times New Roman" w:eastAsia="Times New Roman" w:hAnsi="Times New Roman"/>
          <w:sz w:val="24"/>
          <w:szCs w:val="24"/>
        </w:rPr>
        <w:t xml:space="preserve"> (RF), XGBoost y </w:t>
      </w:r>
      <w:r>
        <w:rPr>
          <w:rFonts w:ascii="Times New Roman" w:cs="Times New Roman" w:eastAsia="Times New Roman" w:hAnsi="Times New Roman"/>
          <w:i/>
          <w:iCs/>
          <w:sz w:val="24"/>
          <w:szCs w:val="24"/>
        </w:rPr>
        <w:t xml:space="preserve">Gradient Boosting</w:t>
      </w:r>
      <w:r>
        <w:rPr>
          <w:rFonts w:ascii="Times New Roman" w:cs="Times New Roman" w:eastAsia="Times New Roman" w:hAnsi="Times New Roman"/>
          <w:sz w:val="24"/>
          <w:szCs w:val="24"/>
        </w:rPr>
        <w:t xml:space="preserve"> (GB)— con una Red Neuronal de Alimentación Directa (</w:t>
      </w:r>
      <w:r>
        <w:rPr>
          <w:rFonts w:ascii="Times New Roman" w:cs="Times New Roman" w:eastAsia="Times New Roman" w:hAnsi="Times New Roman"/>
          <w:i/>
          <w:iCs/>
          <w:sz w:val="24"/>
          <w:szCs w:val="24"/>
        </w:rPr>
        <w:t xml:space="preserve">Feedforward Neural Network</w:t>
      </w:r>
      <w:r>
        <w:rPr>
          <w:rFonts w:ascii="Times New Roman" w:cs="Times New Roman" w:eastAsia="Times New Roman" w:hAnsi="Times New Roman"/>
          <w:sz w:val="24"/>
          <w:szCs w:val="24"/>
        </w:rPr>
        <w:t xml:space="preserve">, FNN) como meta-aprendiz en la segunda capa de procesamiento. Este enfoque no solo permite maximizar la precisión predictiva al aprovechar las fortalezas complementarias de cada algoritmo, sino que también posibilita la interpretación de los resultados mediante técnicas de inteligencia artificial explicable (</w:t>
      </w:r>
      <w:r>
        <w:rPr>
          <w:rFonts w:ascii="Times New Roman" w:cs="Times New Roman" w:eastAsia="Times New Roman" w:hAnsi="Times New Roman"/>
          <w:i/>
          <w:iCs/>
          <w:sz w:val="24"/>
          <w:szCs w:val="24"/>
        </w:rPr>
        <w:t xml:space="preserve">Explainable AI</w:t>
      </w:r>
      <w:r>
        <w:rPr>
          <w:rFonts w:ascii="Times New Roman" w:cs="Times New Roman" w:eastAsia="Times New Roman" w:hAnsi="Times New Roman"/>
          <w:sz w:val="24"/>
          <w:szCs w:val="24"/>
        </w:rPr>
        <w:t xml:space="preserve">, XAI), específicamente a través del análisis de valores SHAP (</w:t>
      </w:r>
      <w:r>
        <w:rPr>
          <w:rFonts w:ascii="Times New Roman" w:cs="Times New Roman" w:eastAsia="Times New Roman" w:hAnsi="Times New Roman"/>
          <w:i/>
          <w:iCs/>
          <w:sz w:val="24"/>
          <w:szCs w:val="24"/>
        </w:rPr>
        <w:t xml:space="preserve">SHapley Additive exPlanations</w:t>
      </w:r>
      <w:r>
        <w:rPr>
          <w:rFonts w:ascii="Times New Roman" w:cs="Times New Roman" w:eastAsia="Times New Roman" w:hAnsi="Times New Roman"/>
          <w:sz w:val="24"/>
          <w:szCs w:val="24"/>
        </w:rPr>
        <w:t xml:space="preserve">). De este modo, la investigación trasciende el objetivo puramente predictivo para ofrecer un marco metodológico replicable que vincule la predicción automatizada con la comprensión de los factores psicoemocionales más influyentes en el abandono escolar.</w:t>
      </w:r>
    </w:p>
    <w:p>
      <w:pPr>
        <w:spacing w:line="480" w:before="0" w:after="200"/>
        <w:ind w:firstLine="720"/>
        <w:jc w:val="both"/>
      </w:pPr>
      <w:r>
        <w:rPr>
          <w:rFonts w:ascii="Times New Roman" w:cs="Times New Roman" w:eastAsia="Times New Roman" w:hAnsi="Times New Roman"/>
          <w:sz w:val="24"/>
          <w:szCs w:val="24"/>
        </w:rPr>
        <w:t xml:space="preserve">La justificación social de esta investigación radica en el impacto directo que tiene la deserción escolar sobre el desarrollo de los individuos y la cohesión de las comunidades. La deserción limita las oportunidades laborales y el desarrollo personal de los estudiantes afectados, al tiempo que genera costos económicos estimados en un 0.4% del producto interno bruto nacional (Miranda-Medina &amp; González, 2021). Los resultados de este estudio tienen el potencial de dotar a las instituciones educativas de herramientas diagnósticas de alta resolución que permitan identificar, de manera temprana y con mayor precisión, a los estudiantes con mayor riesgo de abandono, posibilitando intervenciones personalizadas que atiendan tanto las necesidades académicas como las psicoemocionales de la población estudiantil (Triquet, 2022; Allensworth et al., 2017). Indirectamente, el desarrollo de estos modelos promueve una educación más inclusiva y equitativa, alineándose con los Objetivos de Desarrollo Sostenible relacionados con la educación de calidad y la reducción de desigualdades.</w:t>
      </w:r>
    </w:p>
    <w:p>
      <w:pPr>
        <w:spacing w:line="480" w:before="0" w:after="200"/>
        <w:ind w:firstLine="720"/>
        <w:jc w:val="both"/>
      </w:pPr>
      <w:r>
        <w:rPr>
          <w:rFonts w:ascii="Times New Roman" w:cs="Times New Roman" w:eastAsia="Times New Roman" w:hAnsi="Times New Roman"/>
          <w:sz w:val="24"/>
          <w:szCs w:val="24"/>
        </w:rPr>
        <w:t xml:space="preserve">En el plano tecnológico y ético, la incorporación de modelos predictivos basados en inteligencia artificial en los entornos educativos plantea responsabilidades que la presente investigación asume de manera explícita. La gestión responsable de los datos de los estudiantes, la transparencia en el diseño y operación de los algoritmos, y el uso de técnicas de </w:t>
      </w:r>
      <w:r>
        <w:rPr>
          <w:rFonts w:ascii="Times New Roman" w:cs="Times New Roman" w:eastAsia="Times New Roman" w:hAnsi="Times New Roman"/>
          <w:i/>
          <w:iCs/>
          <w:sz w:val="24"/>
          <w:szCs w:val="24"/>
        </w:rPr>
        <w:t xml:space="preserve">explainability</w:t>
      </w:r>
      <w:r>
        <w:rPr>
          <w:rFonts w:ascii="Times New Roman" w:cs="Times New Roman" w:eastAsia="Times New Roman" w:hAnsi="Times New Roman"/>
          <w:sz w:val="24"/>
          <w:szCs w:val="24"/>
        </w:rPr>
        <w:t xml:space="preserve"> para garantizar la comprensión de las predicciones por parte de los actores educativos son principios que guían el desarrollo metodológico de esta propuesta (Treviño &amp; Maldonado, 2020). La participación activa de los estudiantes como informantes del proceso y la incorporación de su perspectiva psicoemocional en el diseño del instrumento de medición contribuyen, además, a fortalecer el sentido de pertenencia y el empoderamiento de la comunidad estudiantil como agentes del cambio educativo.</w:t>
      </w:r>
    </w:p>
    <w:p>
      <w:pPr>
        <w:spacing w:line="480" w:before="0" w:after="200"/>
        <w:ind w:firstLine="720"/>
        <w:jc w:val="both"/>
      </w:pPr>
      <w:r>
        <w:rPr>
          <w:rFonts w:ascii="Times New Roman" w:cs="Times New Roman" w:eastAsia="Times New Roman" w:hAnsi="Times New Roman"/>
          <w:sz w:val="24"/>
          <w:szCs w:val="24"/>
        </w:rPr>
        <w:t xml:space="preserve">Finalmente, la presente investigación se justifica en el contexto institucional de la Universidad Autónoma de Querétaro (UAQ), institución que, al igual que otras universidades públicas mexicanas, enfrenta el desafío de retener a su población estudiantil en un entorno de creciente presión socioeconómica y transformación digital. Al generar un modelo predictivo ajustado al contexto local y validado con población de educación superior queretana, este estudio ofrece un aporte concreto y aplicable a la gestión institucional, con el potencial de ser transferido y adaptado a otras instituciones de educación superior de la región latinoamericana.</w:t>
      </w:r>
    </w:p>
    <w:p>
      <w:pPr>
        <w:spacing w:before="720" w:after="360" w:line="480"/>
        <w:jc w:val="center"/>
      </w:pPr>
      <w:r>
        <w:rPr>
          <w:rFonts w:ascii="Times New Roman" w:cs="Times New Roman" w:eastAsia="Times New Roman" w:hAnsi="Times New Roman"/>
          <w:b/>
          <w:bCs/>
          <w:color w:val="C00000"/>
          <w:sz w:val="22"/>
          <w:szCs w:val="22"/>
        </w:rPr>
        <w:t xml:space="preserve">─── OBSERVACIONES DE REVISIÓN ───</w:t>
      </w:r>
    </w:p>
    <w:p>
      <w:pPr>
        <w:pBdr>
          <w:top w:val="single" w:color="C00000" w:sz="6"/>
          <w:left w:val="single" w:color="C00000" w:sz="18"/>
          <w:bottom w:val="single" w:color="C00000" w:sz="6"/>
          <w:right w:val="single" w:color="C00000" w:sz="6"/>
        </w:pBdr>
        <w:spacing w:line="360" w:before="120" w:after="120"/>
        <w:ind w:left="720" w:right="720"/>
        <w:jc w:val="both"/>
      </w:pPr>
      <w:r>
        <w:rPr>
          <w:rFonts w:ascii="Times New Roman" w:cs="Times New Roman" w:eastAsia="Times New Roman" w:hAnsi="Times New Roman"/>
          <w:b/>
          <w:bCs/>
          <w:color w:val="C00000"/>
          <w:sz w:val="20"/>
          <w:szCs w:val="20"/>
        </w:rPr>
        <w:t xml:space="preserve">⚠ NOTA: PÁRRAFO DUPLICADO ELIMINADO: En la versión original, el primer párrafo de la sección 1.2 Justificación aparecía repetido de forma idéntica. Se eliminó la duplicación y se consolidó el contenido en una sola versión mejorada.</w:t>
      </w:r>
    </w:p>
    <w:p>
      <w:pPr>
        <w:pBdr>
          <w:top w:val="single" w:color="C00000" w:sz="6"/>
          <w:left w:val="single" w:color="C00000" w:sz="18"/>
          <w:bottom w:val="single" w:color="C00000" w:sz="6"/>
          <w:right w:val="single" w:color="C00000" w:sz="6"/>
        </w:pBdr>
        <w:spacing w:line="360" w:before="120" w:after="120"/>
        <w:ind w:left="720" w:right="720"/>
        <w:jc w:val="both"/>
      </w:pPr>
      <w:r>
        <w:rPr>
          <w:rFonts w:ascii="Times New Roman" w:cs="Times New Roman" w:eastAsia="Times New Roman" w:hAnsi="Times New Roman"/>
          <w:b/>
          <w:bCs/>
          <w:color w:val="C00000"/>
          <w:sz w:val="20"/>
          <w:szCs w:val="20"/>
        </w:rPr>
        <w:t xml:space="preserve">⚠ NOTA: SECCIÓN 1.1 CREADA: El texto original carecía de una subsección explícita 'Descripción del Problema'. Se estructuró este apartado tomando el contenido de la introducción general que describía el problema y agregando datos estadísticos clave presentes en otros capítulos de la tesis (p. ej., 994,219 estudiantes, 5.2 millones post-COVID) para dar mayor densidad argumentativa a esta sección.</w:t>
      </w:r>
    </w:p>
    <w:p>
      <w:pPr>
        <w:pBdr>
          <w:top w:val="single" w:color="C00000" w:sz="6"/>
          <w:left w:val="single" w:color="C00000" w:sz="18"/>
          <w:bottom w:val="single" w:color="C00000" w:sz="6"/>
          <w:right w:val="single" w:color="C00000" w:sz="6"/>
        </w:pBdr>
        <w:spacing w:line="360" w:before="120" w:after="120"/>
        <w:ind w:left="720" w:right="720"/>
        <w:jc w:val="both"/>
      </w:pPr>
      <w:r>
        <w:rPr>
          <w:rFonts w:ascii="Times New Roman" w:cs="Times New Roman" w:eastAsia="Times New Roman" w:hAnsi="Times New Roman"/>
          <w:b/>
          <w:bCs/>
          <w:color w:val="C00000"/>
          <w:sz w:val="20"/>
          <w:szCs w:val="20"/>
        </w:rPr>
        <w:t xml:space="preserve">⚠ NOTA: REFERENCIA PENDIENTE DE VERIFICACIÓN — SEP 2024: La cita (Secretaría de Educación Pública [SEP], 2024) fue incluida para referenciar la estadística del 30.9% de deserción en EMS. Verificar que el dato específico provenga de esta fuente o ajustar a la fuente correcta (p. ej., INEGI, SEP ciclo 2024-2025, o Educación con Rumbo 2025 como ya se cita en 1.1).</w:t>
      </w:r>
    </w:p>
    <w:p>
      <w:pPr>
        <w:pBdr>
          <w:top w:val="single" w:color="C00000" w:sz="6"/>
          <w:left w:val="single" w:color="C00000" w:sz="18"/>
          <w:bottom w:val="single" w:color="C00000" w:sz="6"/>
          <w:right w:val="single" w:color="C00000" w:sz="6"/>
        </w:pBdr>
        <w:spacing w:line="360" w:before="120" w:after="120"/>
        <w:ind w:left="720" w:right="720"/>
        <w:jc w:val="both"/>
      </w:pPr>
      <w:r>
        <w:rPr>
          <w:rFonts w:ascii="Times New Roman" w:cs="Times New Roman" w:eastAsia="Times New Roman" w:hAnsi="Times New Roman"/>
          <w:b/>
          <w:bCs/>
          <w:color w:val="C00000"/>
          <w:sz w:val="20"/>
          <w:szCs w:val="20"/>
        </w:rPr>
        <w:t xml:space="preserve">⚠ NOTA: REFERENCIA PENDIENTE — UNESCO (2023): Se incluyó para contextualizar la dimensión global del problema. Si no figura en el listado de referencias actuales, deberá agregarse. Dato de referencia: UNESCO Institute for Statistics (2023). Global education monitoring report. UNESCO Publishing.</w:t>
      </w:r>
    </w:p>
    <w:p>
      <w:pPr>
        <w:pBdr>
          <w:top w:val="single" w:color="C00000" w:sz="6"/>
          <w:left w:val="single" w:color="C00000" w:sz="18"/>
          <w:bottom w:val="single" w:color="C00000" w:sz="6"/>
          <w:right w:val="single" w:color="C00000" w:sz="6"/>
        </w:pBdr>
        <w:spacing w:line="360" w:before="120" w:after="120"/>
        <w:ind w:left="720" w:right="720"/>
        <w:jc w:val="both"/>
      </w:pPr>
      <w:r>
        <w:rPr>
          <w:rFonts w:ascii="Times New Roman" w:cs="Times New Roman" w:eastAsia="Times New Roman" w:hAnsi="Times New Roman"/>
          <w:b/>
          <w:bCs/>
          <w:color w:val="C00000"/>
          <w:sz w:val="20"/>
          <w:szCs w:val="20"/>
        </w:rPr>
        <w:t xml:space="preserve">⚠ NOTA: ORTOGRAFÍA CORREGIDA: 'Por ultimo' → 'Finalmente' (en Justificación) y en Introducción original. La tilde en 'último' estaba ausente en el texto original.</w:t>
      </w:r>
    </w:p>
    <w:p>
      <w:pPr>
        <w:pBdr>
          <w:top w:val="single" w:color="C00000" w:sz="6"/>
          <w:left w:val="single" w:color="C00000" w:sz="18"/>
          <w:bottom w:val="single" w:color="C00000" w:sz="6"/>
          <w:right w:val="single" w:color="C00000" w:sz="6"/>
        </w:pBdr>
        <w:spacing w:line="360" w:before="120" w:after="120"/>
        <w:ind w:left="720" w:right="720"/>
        <w:jc w:val="both"/>
      </w:pPr>
      <w:r>
        <w:rPr>
          <w:rFonts w:ascii="Times New Roman" w:cs="Times New Roman" w:eastAsia="Times New Roman" w:hAnsi="Times New Roman"/>
          <w:b/>
          <w:bCs/>
          <w:color w:val="C00000"/>
          <w:sz w:val="20"/>
          <w:szCs w:val="20"/>
        </w:rPr>
        <w:t xml:space="preserve">⚠ NOTA: PÁRRAFO SOBRE FORMACIÓN DOCENTE (original, pág. 14): El párrafo sobre la capacitación continua de docentes (Del Rocío López Lucas et al., 2025) y el párrafo sobre tecnologías emergentes/ética (Treviño &amp; Maldonado, 2020) fueron relocalizados conceptualmente: sus ideas se incorporaron dentro de los párrafos de Justificación donde tienen mayor pertinencia argumentativa. Revisa si deseas conservarlos como párrafos independientes.</w:t>
      </w:r>
    </w:p>
    <w:p>
      <w:pPr>
        <w:pBdr>
          <w:top w:val="single" w:color="C00000" w:sz="6"/>
          <w:left w:val="single" w:color="C00000" w:sz="18"/>
          <w:bottom w:val="single" w:color="C00000" w:sz="6"/>
          <w:right w:val="single" w:color="C00000" w:sz="6"/>
        </w:pBdr>
        <w:spacing w:line="360" w:before="120" w:after="120"/>
        <w:ind w:left="720" w:right="720"/>
        <w:jc w:val="both"/>
      </w:pPr>
      <w:r>
        <w:rPr>
          <w:rFonts w:ascii="Times New Roman" w:cs="Times New Roman" w:eastAsia="Times New Roman" w:hAnsi="Times New Roman"/>
          <w:b/>
          <w:bCs/>
          <w:color w:val="C00000"/>
          <w:sz w:val="20"/>
          <w:szCs w:val="20"/>
        </w:rPr>
        <w:t xml:space="preserve">⚠ NOTA: REFERENCIA 'Del Rocío López Lucas et al., 2025': Verifica el formato de este nombre de autor — el uso de 'Del Rocío' como parte del apellido es inusual en APA 6ta. Si el autor es 'López Lucas, M. R. et al.', corregir la cita.</w:t>
      </w:r>
    </w:p>
    <w:p>
      <w:pPr>
        <w:pBdr>
          <w:top w:val="single" w:color="C00000" w:sz="6"/>
          <w:left w:val="single" w:color="C00000" w:sz="18"/>
          <w:bottom w:val="single" w:color="C00000" w:sz="6"/>
          <w:right w:val="single" w:color="C00000" w:sz="6"/>
        </w:pBdr>
        <w:spacing w:line="360" w:before="120" w:after="120"/>
        <w:ind w:left="720" w:right="720"/>
        <w:jc w:val="both"/>
      </w:pPr>
      <w:r>
        <w:rPr>
          <w:rFonts w:ascii="Times New Roman" w:cs="Times New Roman" w:eastAsia="Times New Roman" w:hAnsi="Times New Roman"/>
          <w:b/>
          <w:bCs/>
          <w:color w:val="C00000"/>
          <w:sz w:val="20"/>
          <w:szCs w:val="20"/>
        </w:rPr>
        <w:t xml:space="preserve">⚠ NOTA: PRÉSTAMO DE DATOS: Los datos de 994,219 estudiantes y 5.2M post-COVID provienen del cuerpo de la tesis (Marco Teórico). Su inclusión en la Introducción/Descripción del Problema es una mejora argumentativa estándar en tesis doctorales, pero asegúrate de que las fuentes citadas en esas secciones sean consistentes con su uso aquí (Educación con Rumbo, 2025; SEP, 2020-2021).</w:t>
      </w:r>
    </w:p>
    <w:p>
      <w:pPr>
        <w:pBdr>
          <w:top w:val="single" w:color="C00000" w:sz="6"/>
          <w:left w:val="single" w:color="C00000" w:sz="18"/>
          <w:bottom w:val="single" w:color="C00000" w:sz="6"/>
          <w:right w:val="single" w:color="C00000" w:sz="6"/>
        </w:pBdr>
        <w:spacing w:line="360" w:before="120" w:after="120"/>
        <w:ind w:left="720" w:right="720"/>
        <w:jc w:val="both"/>
      </w:pPr>
      <w:r>
        <w:rPr>
          <w:rFonts w:ascii="Times New Roman" w:cs="Times New Roman" w:eastAsia="Times New Roman" w:hAnsi="Times New Roman"/>
          <w:b/>
          <w:bCs/>
          <w:color w:val="C00000"/>
          <w:sz w:val="20"/>
          <w:szCs w:val="20"/>
        </w:rPr>
        <w:t xml:space="preserve">⚠ NOTA: SHAP / XAI: Se añadió la mención de SHAP values y Explainable AI en la Justificación metodológica. Si este componente aún no está desarrollado en el Capítulo VI (Resultados), se puede conservar en la Justificación como objetivo metodológico del estudio. Recomiendo desarrollarlo con mayor detalle en el Capítulo de Método.</w:t>
      </w:r>
    </w:p>
    <w:sectPr>
      <w:headerReference w:type="default" r:id="rId6"/>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t xml:space="preserve">MODELOS PREDICTIVOS ML: VARIABLES PSICOEMOCIONALES Y DESERCIÓN ESCOLAR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2026-03-31T19:00:46.904Z</dcterms:created>
  <dcterms:modified xsi:type="dcterms:W3CDTF">2026-03-31T19:00:46.904Z</dcterms:modified>
</cp:coreProperties>
</file>

<file path=docProps/custom.xml><?xml version="1.0" encoding="utf-8"?>
<Properties xmlns="http://schemas.openxmlformats.org/officeDocument/2006/custom-properties" xmlns:vt="http://schemas.openxmlformats.org/officeDocument/2006/docPropsVTypes"/>
</file>