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line="480"/>
        <w:jc w:val="center"/>
      </w:pPr>
      <w:r>
        <w:rPr>
          <w:rFonts w:ascii="Times New Roman" w:cs="Times New Roman" w:eastAsia="Times New Roman" w:hAnsi="Times New Roman"/>
          <w:b/>
          <w:bCs/>
          <w:sz w:val="28"/>
          <w:szCs w:val="28"/>
        </w:rPr>
        <w:t xml:space="preserve">II. ANTECEDENTES</w:t>
      </w:r>
    </w:p>
    <w:p>
      <w:pPr>
        <w:spacing w:before="0" w:after="2880" w:line="480"/>
        <w:jc w:val="center"/>
      </w:pPr>
      <w:r>
        <w:rPr>
          <w:rFonts w:ascii="Times New Roman" w:cs="Times New Roman" w:eastAsia="Times New Roman" w:hAnsi="Times New Roman"/>
          <w:i/>
          <w:iCs/>
          <w:color w:val="595959"/>
          <w:sz w:val="20"/>
          <w:szCs w:val="20"/>
        </w:rPr>
        <w:t xml:space="preserve">Capítulo revisado y mejorado — Versión 1.0</w:t>
      </w:r>
    </w:p>
    <w:p>
      <w:pPr>
        <w:spacing w:line="480" w:before="480" w:after="240"/>
        <w:jc w:val="center"/>
      </w:pPr>
      <w:r>
        <w:rPr>
          <w:rFonts w:ascii="Times New Roman" w:cs="Times New Roman" w:eastAsia="Times New Roman" w:hAnsi="Times New Roman"/>
          <w:b/>
          <w:bCs/>
          <w:sz w:val="24"/>
          <w:szCs w:val="24"/>
        </w:rPr>
        <w:t xml:space="preserve">II. ANTECEDENTES</w:t>
      </w:r>
    </w:p>
    <w:p>
      <w:pPr>
        <w:spacing w:line="480" w:before="0" w:after="200"/>
        <w:ind w:firstLine="720"/>
        <w:jc w:val="both"/>
      </w:pPr>
      <w:r>
        <w:rPr>
          <w:rFonts w:ascii="Times New Roman" w:cs="Times New Roman" w:eastAsia="Times New Roman" w:hAnsi="Times New Roman"/>
          <w:sz w:val="24"/>
          <w:szCs w:val="24"/>
        </w:rPr>
        <w:t xml:space="preserve">El presente capítulo tiene por objeto revisar los antecedentes teóricos y empíricos que sustentan la investigación, organizados en torno a tres ejes temáticos fundamentales: la deserción escolar como fenómeno complejo y multidimensional, el papel de las variables psicoemocionales en el abandono educativo, y el desarrollo del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como herramienta analítica aplicada al contexto educativo. La revisión de estos antecedentes permite situar la investigación dentro del estado del conocimiento actual, identificar las brechas existentes en la literatura y justificar la pertinencia del enfoque metodológico propuesto.</w:t>
      </w:r>
    </w:p>
    <w:p>
      <w:pPr>
        <w:spacing w:line="480" w:before="360" w:after="200"/>
        <w:jc w:val="both"/>
      </w:pPr>
      <w:r>
        <w:rPr>
          <w:rFonts w:ascii="Times New Roman" w:cs="Times New Roman" w:eastAsia="Times New Roman" w:hAnsi="Times New Roman"/>
          <w:b/>
          <w:bCs/>
          <w:i/>
          <w:iCs/>
          <w:sz w:val="24"/>
          <w:szCs w:val="24"/>
        </w:rPr>
        <w:t xml:space="preserve">2.1 La Deserción Escolar: Conceptualización y Dimensiones</w:t>
      </w:r>
    </w:p>
    <w:p>
      <w:pPr>
        <w:spacing w:line="480" w:before="0" w:after="200"/>
        <w:ind w:firstLine="720"/>
        <w:jc w:val="both"/>
      </w:pPr>
      <w:r>
        <w:rPr>
          <w:rFonts w:ascii="Times New Roman" w:cs="Times New Roman" w:eastAsia="Times New Roman" w:hAnsi="Times New Roman"/>
          <w:sz w:val="24"/>
          <w:szCs w:val="24"/>
        </w:rPr>
        <w:t xml:space="preserve">La deserción escolar es un problema global que afecta a estudiantes en todos los niveles educativos, con impactos que se extienden más allá de las aulas y repercuten en el desarrollo económico y social de las naciones (Berumen et al., 2023). Las razones detrás del abandono escolar son diversas y complejas, y su comprensión requiere un abordaje multidisciplinario que considere tanto los factores institucionales como los individuales, familiares y socioeconómicos. De acuerdo con Sarango et al. (2023), entre las causas más frecuentes se encuentran las deficiencias en los planes de estudio y la actualización del personal docente, las dificultades familiares, y la ausencia de metas vitales claras o de un proyecto de vida consolidado.</w:t>
      </w:r>
    </w:p>
    <w:p>
      <w:pPr>
        <w:spacing w:line="480" w:before="0" w:after="200"/>
        <w:ind w:firstLine="720"/>
        <w:jc w:val="both"/>
      </w:pPr>
      <w:r>
        <w:rPr>
          <w:rFonts w:ascii="Times New Roman" w:cs="Times New Roman" w:eastAsia="Times New Roman" w:hAnsi="Times New Roman"/>
          <w:sz w:val="24"/>
          <w:szCs w:val="24"/>
        </w:rPr>
        <w:t xml:space="preserve">Para enfrentar efectivamente la deserción escolar, es esencial que las instituciones educativas reconozcan y respondan a estas dificultades de manera integral (Berumen et al., 2023). Lo anterior implica implementar medidas orientadas a mejorar la calidad de la enseñanza, ofrecer apoyo emocional y académico a los estudiantes, y promover la participación activa de las familias en el proceso educativo. En este sentido, se reconoce que el desafío requiere esfuerzos conjuntos para asegurar que todos los estudiantes tengan la oportunidad de alcanzar su máximo potencial educativo, lo que demanda estrategias colaborativas y multidisciplinarias que involucren a estudiantes, educadores, familias y comunidades.</w:t>
      </w:r>
    </w:p>
    <w:p>
      <w:pPr>
        <w:spacing w:line="480" w:before="0" w:after="200"/>
        <w:ind w:firstLine="720"/>
        <w:jc w:val="both"/>
      </w:pPr>
      <w:r>
        <w:rPr>
          <w:rFonts w:ascii="Times New Roman" w:cs="Times New Roman" w:eastAsia="Times New Roman" w:hAnsi="Times New Roman"/>
          <w:sz w:val="24"/>
          <w:szCs w:val="24"/>
        </w:rPr>
        <w:t xml:space="preserve">Definir con precisión el concepto de deserción escolar representa, en sí mismo, un desafío teórico, dado que la falta de parámetros conceptuales claros ha dado lugar a diversas aproximaciones. Berumen et al. (2023) señalan que, al ser un fenómeno complejo, varios autores lo han abordado desde perspectivas distintas. Por ejemplo, Vásquez Velásquez et al. (2003) categorizan la deserción desde una perspectiva temporal y espacial, según la duración del estudiante en el programa y los cambios entre instituciones educativas. Por su parte, el DANE (2016) la define como la separación del sistema educativo, mientras que Lavaros y Gallegos (2005) excluyen de la definición las situaciones provocadas por enfermedades o por obligaciones legales. En una línea complementaria, Del Castillo (2012) destaca la relación entre la deserción escolar y la renuncia del estudiante a sus metas y aspiraciones futuras.</w:t>
      </w:r>
    </w:p>
    <w:p>
      <w:pPr>
        <w:spacing w:line="480" w:before="0" w:after="200"/>
        <w:ind w:firstLine="720"/>
        <w:jc w:val="both"/>
      </w:pPr>
      <w:r>
        <w:rPr>
          <w:rFonts w:ascii="Times New Roman" w:cs="Times New Roman" w:eastAsia="Times New Roman" w:hAnsi="Times New Roman"/>
          <w:sz w:val="24"/>
          <w:szCs w:val="24"/>
        </w:rPr>
        <w:t xml:space="preserve">Considerando los aportes anteriores, en la presente investigación la deserción escolar se entiende como la separación definitiva o temporal de un estudiante del sistema educativo formal. Este fenómeno puede analizarse desde una perspectiva temporal —que incluye categorías como precoz, temprana y tardía, dependiendo del tiempo que el estudiante haya permanecido en el programa antes de retirarse (Berumen et al., 2023; Sarango et al., 2023)— o desde una perspectiva espacial, que contempla cambios dentro de una misma institución o entre diferentes instituciones, con la posibilidad de reincorporación futura (Arellano, 2023). Excluyendo las situaciones relacionadas con enfermedades, accidentes u obligaciones legales, la deserción escolar se vincula con la renuncia a las aspiraciones y metas de una vida productiva y responsable, configurándose así como un fenómeno que demanda respuestas institucionales y políticas de carácter urgente.</w:t>
      </w:r>
    </w:p>
    <w:p>
      <w:pPr>
        <w:spacing w:line="480" w:before="360" w:after="200"/>
        <w:jc w:val="both"/>
      </w:pPr>
      <w:r>
        <w:rPr>
          <w:rFonts w:ascii="Times New Roman" w:cs="Times New Roman" w:eastAsia="Times New Roman" w:hAnsi="Times New Roman"/>
          <w:b/>
          <w:bCs/>
          <w:i/>
          <w:iCs/>
          <w:sz w:val="24"/>
          <w:szCs w:val="24"/>
        </w:rPr>
        <w:t xml:space="preserve">2.2 Variables Psicoemocionales en la Deserción Escolar</w:t>
      </w:r>
    </w:p>
    <w:p>
      <w:pPr>
        <w:spacing w:line="480" w:before="0" w:after="200"/>
        <w:ind w:firstLine="720"/>
        <w:jc w:val="both"/>
      </w:pPr>
      <w:r>
        <w:rPr>
          <w:rFonts w:ascii="Times New Roman" w:cs="Times New Roman" w:eastAsia="Times New Roman" w:hAnsi="Times New Roman"/>
          <w:sz w:val="24"/>
          <w:szCs w:val="24"/>
        </w:rPr>
        <w:t xml:space="preserve">En este sentido, se puede entender la deserción escolar como un fenómeno complejo que involucra una amplia gama de variables psicoemocionales que afectan tanto el rendimiento académico como la decisión de los estudiantes de continuar o abandonar sus estudios (Llamas, 2024; Narvaes &amp; Consuelo, 2023; Olvera et al., 2022). Asimismo, investigaciones recientes señalan que el bienestar emocional, la autoeficacia, el sentido de pertenencia y la salud mental no son variables secundarias, sino dimensiones estructurales del proceso educativo cuya presencia o ausencia determina de manera significativa la permanencia del estudiante en el sistema escolar.</w:t>
      </w:r>
    </w:p>
    <w:p>
      <w:pPr>
        <w:spacing w:line="480" w:before="0" w:after="200"/>
        <w:ind w:firstLine="720"/>
        <w:jc w:val="both"/>
      </w:pPr>
      <w:r>
        <w:rPr>
          <w:rFonts w:ascii="Times New Roman" w:cs="Times New Roman" w:eastAsia="Times New Roman" w:hAnsi="Times New Roman"/>
          <w:sz w:val="24"/>
          <w:szCs w:val="24"/>
        </w:rPr>
        <w:t xml:space="preserve">Bulut et al. (2024) destacan, en este contexto, la importancia del sentido de pertenencia a la escuela y la autoeficacia en matemáticas y ciencias como predictores clave del abandono escolar en educación superior. Su estudio enfatiza que la colaboración entre análisis humano y modelos automatizados puede mejorar la identificación de estudiantes en riesgo, sugiriendo que las intervenciones educativas deben fundamentarse en datos que consideren estas dimensiones emocionales y sociales, y no únicamente en indicadores académicos convencionales.</w:t>
      </w:r>
    </w:p>
    <w:p>
      <w:pPr>
        <w:spacing w:line="480" w:before="0" w:after="200"/>
        <w:ind w:firstLine="720"/>
        <w:jc w:val="both"/>
      </w:pPr>
      <w:r>
        <w:rPr>
          <w:rFonts w:ascii="Times New Roman" w:cs="Times New Roman" w:eastAsia="Times New Roman" w:hAnsi="Times New Roman"/>
          <w:sz w:val="24"/>
          <w:szCs w:val="24"/>
        </w:rPr>
        <w:t xml:space="preserve">De igual manera, De Ridder et al. (2013) realizaron un análisis longitudinal en Noruega que revela una fuerte asociación entre la salud adolescente y el abandono escolar. Los hallazgos de este estudio indican que problemas de salud como la angustia psicológica, las enfermedades somáticas y la obesidad se relacionan significativamente con un mayor riesgo de deserción, lo que subraya la necesidad de abordar las necesidades de salud mental de los estudiantes como una estrategia central para prevenir el abandono escolar. Este estudio, aunque realizado en el contexto europeo, ofrece evidencia relevante para comprender los mecanismos psicofisiológicos que subyacen al proceso de deserción.</w:t>
      </w:r>
    </w:p>
    <w:p>
      <w:pPr>
        <w:spacing w:line="480" w:before="0" w:after="200"/>
        <w:ind w:firstLine="720"/>
        <w:jc w:val="both"/>
      </w:pPr>
      <w:r>
        <w:rPr>
          <w:rFonts w:ascii="Times New Roman" w:cs="Times New Roman" w:eastAsia="Times New Roman" w:hAnsi="Times New Roman"/>
          <w:sz w:val="24"/>
          <w:szCs w:val="24"/>
        </w:rPr>
        <w:t xml:space="preserve">Adicionalmente, investigaciones recientes han explorado cómo el capacitismo internalizado afecta las experiencias educativas de los estudiantes con discapacidades, argumentando que este fenómeno puede llevar a sentimientos de aislamiento, inferioridad y ansiedad, con impactos negativos en la participación y el rendimiento escolar (</w:t>
      </w:r>
      <w:r>
        <w:rPr>
          <w:rFonts w:ascii="Times New Roman" w:cs="Times New Roman" w:eastAsia="Times New Roman" w:hAnsi="Times New Roman"/>
          <w:i/>
          <w:iCs/>
          <w:sz w:val="24"/>
          <w:szCs w:val="24"/>
        </w:rPr>
        <w:t xml:space="preserve">British Journal of Sociology of Education</w:t>
      </w:r>
      <w:r>
        <w:rPr>
          <w:rFonts w:ascii="Times New Roman" w:cs="Times New Roman" w:eastAsia="Times New Roman" w:hAnsi="Times New Roman"/>
          <w:sz w:val="24"/>
          <w:szCs w:val="24"/>
        </w:rPr>
        <w:t xml:space="preserve">, 2024). Este enfoque propone un cambio en las estructuras educativas orientado a fomentar un ambiente inclusivo que desafíe las actitudes discriminatorias, resaltando la necesidad de políticas que promuevan modelos de referencia positivos para los estudiantes en situación de vulnerabilidad.</w:t>
      </w:r>
    </w:p>
    <w:p>
      <w:pPr>
        <w:spacing w:line="480" w:before="0" w:after="200"/>
        <w:ind w:firstLine="720"/>
        <w:jc w:val="both"/>
      </w:pPr>
      <w:r>
        <w:rPr>
          <w:rFonts w:ascii="Times New Roman" w:cs="Times New Roman" w:eastAsia="Times New Roman" w:hAnsi="Times New Roman"/>
          <w:sz w:val="24"/>
          <w:szCs w:val="24"/>
        </w:rPr>
        <w:t xml:space="preserve">De igual manera, es esencial considerar que las políticas educativas deben integrar estas dimensiones psicoemocionales para crear entornos escolares más inclusivos y empoderadores. Las intervenciones deben centrarse no solo en los aspectos académicos, sino también en proporcionar apoyo emocional y psicológico a los estudiantes, lo cual garantizará su bienestar integral y su permanencia en el sistema educativo (Maher &amp; Haegele, 2024). Abordar las variables psicoemocionales resulta, por tanto, crucial para reducir las tasas de deserción escolar, crear entornos que apoyen el bienestar emocional, fortalezcan la autoeficacia y fomenten un sentido de pertenencia que ancle al estudiante a su trayectoria académica.</w:t>
      </w:r>
    </w:p>
    <w:p>
      <w:pPr>
        <w:spacing w:line="480" w:before="0" w:after="200"/>
        <w:ind w:firstLine="720"/>
        <w:jc w:val="both"/>
      </w:pPr>
      <w:r>
        <w:rPr>
          <w:rFonts w:ascii="Times New Roman" w:cs="Times New Roman" w:eastAsia="Times New Roman" w:hAnsi="Times New Roman"/>
          <w:sz w:val="24"/>
          <w:szCs w:val="24"/>
        </w:rPr>
        <w:t xml:space="preserve">En este sentido, la integración de variables psicoemocionales en modelos de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mejora notablemente la predicción de la deserción escolar al capturar factores subjetivos que afectan el rendimiento académico de los estudiantes (Maher &amp; Haegele, 2024). Estas variables —como el bienestar emocional, la autoeficacia y el sentido de pertenencia— junto con factores de salud mental, juegan un papel determinante en los modelos predictivos, toda vez que permiten detectar de forma temprana a los estudiantes en riesgo y posibilitan el diseño de intervenciones personalizadas que promuevan un entorno inclusivo y empoderador (Bulut et al., 2024; De Ridder et al., 2013). Por lo tanto, se recomienda explorar la optimización de estos modelos en contextos de vulnerabilidad, enfatizando la importancia de políticas educativas que aborden tanto las dimensiones psicoemocionales como las académicas para reducir efectivamente las tasas de deserción escolar (Maher &amp; Haegele, 2024; Bulut et al., 2024; De Ridder et al., 2013).</w:t>
      </w:r>
    </w:p>
    <w:p>
      <w:pPr>
        <w:spacing w:line="480" w:before="360" w:after="200"/>
        <w:jc w:val="both"/>
      </w:pPr>
      <w:r>
        <w:rPr>
          <w:rFonts w:ascii="Times New Roman" w:cs="Times New Roman" w:eastAsia="Times New Roman" w:hAnsi="Times New Roman"/>
          <w:b/>
          <w:bCs/>
          <w:i/>
          <w:iCs/>
          <w:sz w:val="24"/>
          <w:szCs w:val="24"/>
        </w:rPr>
        <w:t xml:space="preserve">2.3 El Aprendizaje Automatizado (Machine Learning)</w:t>
      </w:r>
    </w:p>
    <w:p>
      <w:pPr>
        <w:spacing w:line="480" w:before="0" w:after="200"/>
        <w:ind w:firstLine="720"/>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(ML) constituye una parte destacada de la inteligencia artificial (IA), herramienta que mejora la eficiencia de múltiples procesos al automatizar tareas repetitivas y complejas (Terrón et al., 2023). Este enfoque se basa en algoritmos que identifican patrones predictivos a partir de datos disponibles, aprendiendo de manera iterativa sin necesidad de programación explícita para cada tarea específica (Azeem et al., 2019; Qin et al., 2022). De manera conceptual, el aprendizaje automático (ML) se define como una subdisciplina de la inteligencia artificial (IA) que se enfoca en desarrollar algoritmos y modelos capaces de aprender de datos y realizar predicciones o tomar decisiones de manera autónoma (Azeem et al., 2019; Qin et al., 2022; Terrón et al., 2023).</w:t>
      </w:r>
    </w:p>
    <w:p>
      <w:pPr>
        <w:spacing w:line="480" w:before="0" w:after="200"/>
        <w:ind w:firstLine="720"/>
        <w:jc w:val="both"/>
      </w:pPr>
      <w:r>
        <w:rPr>
          <w:rFonts w:ascii="Times New Roman" w:cs="Times New Roman" w:eastAsia="Times New Roman" w:hAnsi="Times New Roman"/>
          <w:sz w:val="24"/>
          <w:szCs w:val="24"/>
        </w:rPr>
        <w:t xml:space="preserve">Recientemente, esta herramienta ha emergido como una revolución tecnológica impulsada por el crecimiento del poder de procesamiento de los ordenadores modernos y la abundancia de datos disponibles sobre prácticamente cualquier temática (F. Liu &amp; Kromer, 2020). De hecho, cuando se habla de inteligencia artificial en los medios de comunicación y el debate público, se hace referencia principalmente al ML o al aprendizaje automático como su manifestación más visible. El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se ha destacado en campos como la informática, la aviación, la atención médica y la manufactura al revelar patrones ocultos en grandes volúmenes de datos (Shehab et al., 2022). Con información confiable y de calidad, los modelos de ML pueden detectar patrones complejos, ofreciendo perspectivas valiosas para la toma de decisiones en contextos de alta incertidumbre (Terrón et al., 2023).</w:t>
      </w:r>
    </w:p>
    <w:p>
      <w:pPr>
        <w:spacing w:line="480" w:before="280" w:after="160"/>
        <w:jc w:val="both"/>
      </w:pPr>
      <w:r>
        <w:rPr>
          <w:rFonts w:ascii="Times New Roman" w:cs="Times New Roman" w:eastAsia="Times New Roman" w:hAnsi="Times New Roman"/>
          <w:i/>
          <w:iCs/>
          <w:sz w:val="24"/>
          <w:szCs w:val="24"/>
        </w:rPr>
        <w:t xml:space="preserve">2.3.1 El Aprendizaje Automatizado en la Educación</w:t>
      </w:r>
    </w:p>
    <w:p>
      <w:pPr>
        <w:spacing w:line="480" w:before="0" w:after="200"/>
        <w:ind w:firstLine="720"/>
        <w:jc w:val="both"/>
      </w:pPr>
      <w:r>
        <w:rPr>
          <w:rFonts w:ascii="Times New Roman" w:cs="Times New Roman" w:eastAsia="Times New Roman" w:hAnsi="Times New Roman"/>
          <w:sz w:val="24"/>
          <w:szCs w:val="24"/>
        </w:rPr>
        <w:t xml:space="preserve">En la educación, la tecnología ha desempeñado un papel fundamental durante décadas, pero en los años recientes han surgido tendencias especialmente prometedoras vinculadas al desarrollo de la inteligencia artificial y el aprendizaje automático. En el mundo digital actual, los medios digitales tienen un impacto significativo en cómo los estudiantes se desarrollan y aprenden, por lo que resulta crucial que los educadores comprendan los alcances y las implicaciones de la IA para poder enseñar habilidades digitales pertinentes y guiar a los estudiantes en la reflexión crítica sobre el rol de la tecnología en sus vidas (Terrón et al., 2023).</w:t>
      </w:r>
    </w:p>
    <w:p>
      <w:pPr>
        <w:spacing w:line="480" w:before="0" w:after="200"/>
        <w:ind w:firstLine="720"/>
        <w:jc w:val="both"/>
      </w:pPr>
      <w:r>
        <w:rPr>
          <w:rFonts w:ascii="Times New Roman" w:cs="Times New Roman" w:eastAsia="Times New Roman" w:hAnsi="Times New Roman"/>
          <w:sz w:val="24"/>
          <w:szCs w:val="24"/>
        </w:rPr>
        <w:t xml:space="preserve">En otras palabras, el aprendizaje automático emerge como una herramienta clave para introducir tanto a docentes como a estudiantes en los fundamentos de la IA aplicada a contextos reales. A pesar de que se están desarrollando diversas metodologías de aprendizaje para enseñar conceptos básicos de ML en la educación básica y media (Terrón et al., 2023), aún existen vacíos investigativos y de aplicación de esta herramienta en diversas áreas del sistema educativo, incluida la educación superior. Cabe destacar que la incorporación de estos enfoques en la formación docente y en el diseño instruccional representa un área de oportunidad considerable para mejorar la calidad y pertinencia de los procesos de enseñanza-aprendizaje.</w:t>
      </w:r>
    </w:p>
    <w:p>
      <w:pPr>
        <w:spacing w:line="480" w:before="280" w:after="160"/>
        <w:jc w:val="both"/>
      </w:pPr>
      <w:r>
        <w:rPr>
          <w:rFonts w:ascii="Times New Roman" w:cs="Times New Roman" w:eastAsia="Times New Roman" w:hAnsi="Times New Roman"/>
          <w:i/>
          <w:iCs/>
          <w:sz w:val="24"/>
          <w:szCs w:val="24"/>
        </w:rPr>
        <w:t xml:space="preserve">2.3.2 El Aprendizaje Automatizado en la Predicción de la Deserción Escolar</w:t>
      </w:r>
    </w:p>
    <w:p>
      <w:pPr>
        <w:spacing w:line="480" w:before="0" w:after="200"/>
        <w:ind w:firstLine="720"/>
        <w:jc w:val="both"/>
      </w:pPr>
      <w:r>
        <w:rPr>
          <w:rFonts w:ascii="Times New Roman" w:cs="Times New Roman" w:eastAsia="Times New Roman" w:hAnsi="Times New Roman"/>
          <w:sz w:val="24"/>
          <w:szCs w:val="24"/>
        </w:rPr>
        <w:t xml:space="preserve">El uso del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en la prevención de la deserción estudiantil ha sido un tema creciente en la investigación educativa de las últimas dos décadas. Esta aproximación permite a las instituciones detectar patrones y factores de riesgo que podrían llevar a los estudiantes a abandonar sus estudios, empleando técnicas de minería de datos para analizar grandes conjuntos de información (Sanusi et al., 2021). Kemper et al. (2020) realizaron un estudio de referencia en el Karlsruhe Institute of Technology (KIT) en el que compararon dos enfoques de aprendizaje automático —regresiones logísticas y árboles de decisión— para predecir la deserción de estudiantes universitarios, utilizando exclusivamente datos de exámenes disponibles en los sistemas institucionales. Los resultados mostraron que los árboles de decisión producen resultados ligeramente superiores a las regresiones logísticas, y que ambos métodos alcanzan precisiones de hasta el 95% después de tres semestres de seguimiento; incluso, una clasificación con más del 83% de precisión resultó posible tras el primer semestre.</w:t>
      </w:r>
    </w:p>
    <w:p>
      <w:pPr>
        <w:spacing w:line="480" w:before="0" w:after="200"/>
        <w:ind w:firstLine="720"/>
        <w:jc w:val="both"/>
      </w:pPr>
      <w:r>
        <w:rPr>
          <w:rFonts w:ascii="Times New Roman" w:cs="Times New Roman" w:eastAsia="Times New Roman" w:hAnsi="Times New Roman"/>
          <w:sz w:val="24"/>
          <w:szCs w:val="24"/>
        </w:rPr>
        <w:t xml:space="preserve">Por otro lado, el ML también ofrece herramientas para personalizar la intervención educativa, permitiendo a las instituciones diseñar estrategias específicas de apoyo como tutorías personalizadas, intervenciones tempranas y programas de acompañamiento emocional y académico (Pari &amp; Jhean, 2021). Otro aspecto relevante es la capacidad del ML para adaptarse y mejorar con el tiempo: a medida que se acumulan más datos y se refinan los algoritmos, los modelos predictivos pueden volverse progresivamente más precisos y efectivos (Kemper et al., 2020; Azeem et al., 2019). Lo anterior permite a las instituciones estar mejor preparadas para identificar y abordar la deserción estudiantil de manera proactiva, antes de que el abandono se concrete.</w:t>
      </w:r>
    </w:p>
    <w:p>
      <w:pPr>
        <w:spacing w:line="480" w:before="0" w:after="200"/>
        <w:ind w:firstLine="720"/>
        <w:jc w:val="both"/>
      </w:pPr>
      <w:r>
        <w:rPr>
          <w:rFonts w:ascii="Times New Roman" w:cs="Times New Roman" w:eastAsia="Times New Roman" w:hAnsi="Times New Roman"/>
          <w:sz w:val="24"/>
          <w:szCs w:val="24"/>
        </w:rPr>
        <w:t xml:space="preserve">Por lo tanto, la aplicación del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en la prevención de la deserción escolar ofrece una herramienta poderosa para las instituciones educativas (Azeem et al., 2019; Sifuentes et al., 2023). Al aprovechar el análisis de datos y la inteligencia artificial, las instituciones pueden identificar y respaldar a los estudiantes en riesgo de abandono, fomentando el éxito académico y la retención estudiantil. Sin embargo, como se ha señalado en secciones anteriores, la mayoría de los modelos existentes se basan en variables académicas y administrativas, sin incorporar las dimensiones psicoemocionales que también predicen de manera significativa el abandono. Este es precisamente el vacío que la presente investigación busca cubrir.</w:t>
      </w:r>
    </w:p>
    <w:p>
      <w:pPr>
        <w:spacing w:line="480" w:before="360" w:after="200"/>
        <w:jc w:val="both"/>
      </w:pPr>
      <w:r>
        <w:rPr>
          <w:rFonts w:ascii="Times New Roman" w:cs="Times New Roman" w:eastAsia="Times New Roman" w:hAnsi="Times New Roman"/>
          <w:b/>
          <w:bCs/>
          <w:i/>
          <w:iCs/>
          <w:sz w:val="24"/>
          <w:szCs w:val="24"/>
        </w:rPr>
        <w:t xml:space="preserve">2.4 Síntesis de los Antecedentes y Vacío Investigativo</w:t>
      </w:r>
    </w:p>
    <w:p>
      <w:pPr>
        <w:spacing w:line="480" w:before="0" w:after="200"/>
        <w:ind w:firstLine="720"/>
        <w:jc w:val="both"/>
      </w:pPr>
      <w:r>
        <w:rPr>
          <w:rFonts w:ascii="Times New Roman" w:cs="Times New Roman" w:eastAsia="Times New Roman" w:hAnsi="Times New Roman"/>
          <w:sz w:val="24"/>
          <w:szCs w:val="24"/>
        </w:rPr>
        <w:t xml:space="preserve">La revisión de los antecedentes permite identificar tres hallazgos convergentes que justifican y orientan la presente investigación. En primer lugar, la deserción escolar es un fenómeno multicausal que requiere abordajes integrales y que, en el contexto latinoamericano y mexicano, está profundamente condicionado por factores socioeconómicos, institucionales e individuales que no se reducen a las trayectorias académicas formales. En segundo lugar, las variables psicoemocionales —incluyendo el bienestar emocional, la autoeficacia, el sentido de pertenencia y los indicadores de salud mental— han sido identificadas de manera consistente en la literatura reciente como predictores significativos del abandono escolar, cuya incorporación en los modelos predictivos puede mejorar sustancialmente la capacidad de identificación temprana del riesgo.</w:t>
      </w:r>
    </w:p>
    <w:p>
      <w:pPr>
        <w:spacing w:line="480" w:before="0" w:after="200"/>
        <w:ind w:firstLine="720"/>
        <w:jc w:val="both"/>
      </w:pPr>
      <w:r>
        <w:rPr>
          <w:rFonts w:ascii="Times New Roman" w:cs="Times New Roman" w:eastAsia="Times New Roman" w:hAnsi="Times New Roman"/>
          <w:sz w:val="24"/>
          <w:szCs w:val="24"/>
        </w:rPr>
        <w:t xml:space="preserve">En tercer lugar, los modelos de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han demostrado una eficacia considerable en la predicción de la deserción a partir de variables académicas y administrativas; sin embargo, su potencial explicativo y su utilidad para el diseño de intervenciones queda limitada al no considerar las dimensiones subjetivas del bienestar estudiantil. Sumado a esto, la literatura revisada evidencia una ausencia notable de estudios que combinen, con rigor metodológico y validación psicométrica, técnicas de aprendizaje automático de alto rendimiento con instrumentos de medición psicoemocional diseñados específicamente para el contexto de la educación superior en México y América Latina.</w:t>
      </w:r>
    </w:p>
    <w:p>
      <w:pPr>
        <w:spacing w:line="480" w:before="0" w:after="200"/>
        <w:ind w:firstLine="720"/>
        <w:jc w:val="both"/>
      </w:pPr>
      <w:r>
        <w:rPr>
          <w:rFonts w:ascii="Times New Roman" w:cs="Times New Roman" w:eastAsia="Times New Roman" w:hAnsi="Times New Roman"/>
          <w:sz w:val="24"/>
          <w:szCs w:val="24"/>
        </w:rPr>
        <w:t xml:space="preserve">A partir de lo anterior, se identifica el vacío investigativo que orienta el presente estudio: el desarrollo y validación de un modelo predictivo de </w:t>
      </w:r>
      <w:r>
        <w:rPr>
          <w:rFonts w:ascii="Times New Roman" w:cs="Times New Roman" w:eastAsia="Times New Roman" w:hAnsi="Times New Roman"/>
          <w:i/>
          <w:iCs/>
          <w:sz w:val="24"/>
          <w:szCs w:val="24"/>
        </w:rPr>
        <w:t xml:space="preserve">stacking</w:t>
      </w:r>
      <w:r>
        <w:rPr>
          <w:rFonts w:ascii="Times New Roman" w:cs="Times New Roman" w:eastAsia="Times New Roman" w:hAnsi="Times New Roman"/>
          <w:sz w:val="24"/>
          <w:szCs w:val="24"/>
        </w:rPr>
        <w:t xml:space="preserve"> compuesto que integre variables psicoemocionales —medidas a través de un instrumento diseñado, validado y aplicado en el contexto de la educación superior queretana— junto con indicadores académicos y sociodemográficos, para mejorar la identificación temprana de estudiantes en riesgo de deserción. Este vacío no es solo teórico, sino también metodológico y aplicado, y su atención representa una contribución relevante tanto para la investigación educativa como para la gestión institucional de la permanencia estudiantil.</w:t>
      </w:r>
    </w:p>
    <w:p>
      <w:pPr>
        <w:spacing w:before="720" w:after="360" w:line="480"/>
        <w:jc w:val="center"/>
      </w:pPr>
      <w:r>
        <w:rPr>
          <w:rFonts w:ascii="Times New Roman" w:cs="Times New Roman" w:eastAsia="Times New Roman" w:hAnsi="Times New Roman"/>
          <w:b/>
          <w:bCs/>
          <w:color w:val="C00000"/>
          <w:sz w:val="22"/>
          <w:szCs w:val="22"/>
        </w:rPr>
        <w:t xml:space="preserve">─── OBSERVACIONES DE REVISIÓN ───</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NUMERACIÓN DE SECCIONES CORREGIDA: En el original, la sección '2.1 Variables psicoemocionales' duplicaba el número 2.1, y '2.3 Machine learning' aparecía antes de que existiera una 2.2. La sección 'El aprendizaje automatizado en la educación' estaba incorrectamente numerada como 2.1, y '2.2.1' existía sin una sección 2.2 padre. Corrección aplicada: 2.1 Deserción escolar → 2.2 Variables psicoemocionales → 2.3 ML → 2.3.1 ML en educación → 2.3.2 ML en deserción → 2.4 Síntesis.</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SECCIÓN 2.4 AÑADIDA: Se incorporó un apartado de síntesis que no existía en el original. En tesis doctorales, el capítulo de Antecedentes debe cerrar con una sección que identifique explícitamente el vacío investigativo que justifica el estudio. Esta práctica es estándar en el DTE-UAQ (visible en la tesis de referencia Juvera Avalos, 2024).</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PÁRRAFO INTRODUCTORIO AÑADIDO: El original comenzaba directamente con '2.1 Deserción escolar' sin un párrafo que anunciara la estructura del capítulo. Se añadió uno para orientar al lector sobre los tres ejes temáticos y la finalidad de la revisión.</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CITA INCOMPLETA — British Journal of Sociology of Education (2024): En el original, esta cita no tiene nombre de autor(es), solo el nombre de la revista. Esto no es válido en APA. Debes buscar el artículo específico y agregar los autores. Formato correcto: Apellido, Inicial. (2024). Título del artículo. British Journal of Sociology of Education, volumen(número), páginas. https://doi.org/xxxxx</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REFERENCIAS A VERIFICAR: Arellano (2023), Llamas (2024), Narvaes &amp; Consuelo (2023), Olvera et al. (2022), Pari &amp; Jhean (2021), Sifuentes et al. (2023) — ninguna de estas aparece visible en las páginas de Referencias de la tesis (que están en blanco). Verificar que todas estén incluidas en la lista final de referencias.</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CONTENIDO MOVIDO vs. DUPLICADO: Parte del contenido de este capítulo (especialmente sobre la definición de deserción y la teoría de Hirschi) se repite en mayor profundidad en el Capítulo III (Marco Teórico). Los Antecedentes deben ser más sintéticos, presentando evidencia empírica reciente, mientras que el Marco Teórico profundiza en la fundamentación conceptual. Se ajustó el nivel de profundidad en consecuencia para evitar redundancia excesiva.</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MEJORA PENDIENTE (OPCIONAL): Si dispones de datos recientes sobre el número de publicaciones sobre ML y deserción escolar (p. ej., una búsqueda en Scopus o WoS con los términos 'machine learning AND dropout'), añadir un párrafo bibliométrico al inicio de la sección 2.3 fortalecería considerablemente la justificación del vacío investigativo y es una práctica valorada en el DTE-UAQ.</w:t>
      </w:r>
    </w:p>
    <w:sectPr>
      <w:headerReference w:type="default" r:id="rId6"/>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MODELOS PREDICTIVOS ML: VARIABLES PSICOEMOCIONALES Y DESERCIÓN ESCOLAR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2026-03-31T19:15:38.985Z</dcterms:created>
  <dcterms:modified xsi:type="dcterms:W3CDTF">2026-03-31T19:15:38.985Z</dcterms:modified>
</cp:coreProperties>
</file>

<file path=docProps/custom.xml><?xml version="1.0" encoding="utf-8"?>
<Properties xmlns="http://schemas.openxmlformats.org/officeDocument/2006/custom-properties" xmlns:vt="http://schemas.openxmlformats.org/officeDocument/2006/docPropsVTypes"/>
</file>