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200"/>
      </w:pPr>
      <w:r>
        <w:rPr>
          <w:rFonts w:ascii="Arial" w:cs="Arial" w:eastAsia="Arial" w:hAnsi="Arial"/>
          <w:b/>
          <w:bCs/>
          <w:sz w:val="28"/>
          <w:szCs w:val="28"/>
        </w:rPr>
        <w:t xml:space="preserve">3.13 Fundamentos del aprendizaje automático supervisado</w:t>
      </w:r>
    </w:p>
    <w:p>
      <w:pPr>
        <w:spacing w:after="160"/>
        <w:jc w:val="both"/>
      </w:pPr>
      <w:r>
        <w:rPr>
          <w:rFonts w:ascii="Arial" w:cs="Arial" w:eastAsia="Arial" w:hAnsi="Arial"/>
          <w:sz w:val="24"/>
          <w:szCs w:val="24"/>
        </w:rPr>
        <w:t xml:space="preserve">El </w:t>
      </w:r>
      <w:r>
        <w:rPr>
          <w:rFonts w:ascii="Arial" w:cs="Arial" w:eastAsia="Arial" w:hAnsi="Arial"/>
          <w:i/>
          <w:iCs/>
          <w:sz w:val="24"/>
          <w:szCs w:val="24"/>
        </w:rPr>
        <w:t xml:space="preserve">machine learning</w:t>
      </w:r>
      <w:r>
        <w:rPr>
          <w:rFonts w:ascii="Arial" w:cs="Arial" w:eastAsia="Arial" w:hAnsi="Arial"/>
          <w:sz w:val="24"/>
          <w:szCs w:val="24"/>
        </w:rPr>
        <w:t xml:space="preserve"> (ML), o aprendizaje automático, constituye una rama de la inteligencia artificial cuyo propósito es desarrollar algoritmos capaces de aprender patrones a partir de datos y generar predicciones o decisiones sin haber sido explícitamente programados para cada tarea (Romero y Ventura, 2020). A diferencia de los enfoques estadísticos tradicionales, los modelos de </w:t>
      </w:r>
      <w:r>
        <w:rPr>
          <w:rFonts w:ascii="Arial" w:cs="Arial" w:eastAsia="Arial" w:hAnsi="Arial"/>
          <w:i/>
          <w:iCs/>
          <w:sz w:val="24"/>
          <w:szCs w:val="24"/>
        </w:rPr>
        <w:t xml:space="preserve">machine learning</w:t>
      </w:r>
      <w:r>
        <w:rPr>
          <w:rFonts w:ascii="Arial" w:cs="Arial" w:eastAsia="Arial" w:hAnsi="Arial"/>
          <w:sz w:val="24"/>
          <w:szCs w:val="24"/>
        </w:rPr>
        <w:t xml:space="preserve"> mejoran su desempeño de manera iterativa conforme procesan mayor cantidad de información, lo que los convierte en herramientas especialmente adecuadas para el análisis de fenómenos educativos complejos donde intervienen múltiples variables de naturaleza heterogénea.</w:t>
      </w:r>
    </w:p>
    <w:p>
      <w:pPr>
        <w:spacing w:after="160"/>
        <w:jc w:val="both"/>
      </w:pPr>
      <w:r>
        <w:rPr>
          <w:rFonts w:ascii="Arial" w:cs="Arial" w:eastAsia="Arial" w:hAnsi="Arial"/>
          <w:sz w:val="24"/>
          <w:szCs w:val="24"/>
        </w:rPr>
        <w:t xml:space="preserve">En el campo educativo, la proliferación de sistemas de gestión de aprendizaje, plataformas digitales y registros institucionales ha generado volúmenes de datos sin precedente, creando las condiciones necesarias para la aplicación de técnicas de aprendizaje automático orientadas a comprender y predecir el comportamiento académico de los estudiantes. Como señalan Romero y Ventura (2020), la </w:t>
      </w:r>
      <w:r>
        <w:rPr>
          <w:rFonts w:ascii="Arial" w:cs="Arial" w:eastAsia="Arial" w:hAnsi="Arial"/>
          <w:i/>
          <w:iCs/>
          <w:sz w:val="24"/>
          <w:szCs w:val="24"/>
        </w:rPr>
        <w:t xml:space="preserve">Educational Data Mining</w:t>
      </w:r>
      <w:r>
        <w:rPr>
          <w:rFonts w:ascii="Arial" w:cs="Arial" w:eastAsia="Arial" w:hAnsi="Arial"/>
          <w:sz w:val="24"/>
          <w:szCs w:val="24"/>
        </w:rPr>
        <w:t xml:space="preserve"> (EDM) —o minería de datos educativos— surge precisamente en este contexto como un campo dedicado al desarrollo de métodos para explorar los datos producidos en entornos educativos y descubrir patrones con valor pedagógico y administrativo. De igual manera, la analítica del aprendizaje (</w:t>
      </w:r>
      <w:r>
        <w:rPr>
          <w:rFonts w:ascii="Arial" w:cs="Arial" w:eastAsia="Arial" w:hAnsi="Arial"/>
          <w:i/>
          <w:iCs/>
          <w:sz w:val="24"/>
          <w:szCs w:val="24"/>
        </w:rPr>
        <w:t xml:space="preserve">learning analytics</w:t>
      </w:r>
      <w:r>
        <w:rPr>
          <w:rFonts w:ascii="Arial" w:cs="Arial" w:eastAsia="Arial" w:hAnsi="Arial"/>
          <w:sz w:val="24"/>
          <w:szCs w:val="24"/>
        </w:rPr>
        <w:t xml:space="preserve">) se enfoca en la medición, recopilación, análisis y reporte de datos sobre estudiantes con el fin de optimizar los procesos de enseñanza y aprendizaje (Zawacki-Richter et al., 2019).</w:t>
      </w:r>
    </w:p>
    <w:p>
      <w:pPr>
        <w:spacing w:after="160"/>
        <w:jc w:val="both"/>
      </w:pPr>
      <w:r>
        <w:rPr>
          <w:rFonts w:ascii="Arial" w:cs="Arial" w:eastAsia="Arial" w:hAnsi="Arial"/>
          <w:sz w:val="24"/>
          <w:szCs w:val="24"/>
        </w:rPr>
        <w:t xml:space="preserve">La relevancia de estos enfoques en el contexto de la deserción escolar radica en su capacidad para procesar simultáneamente variables de distinta índole —académicas, socioeconómicas, psicoemocionales e institucionales— y establecer relaciones no lineales entre ellas que difícilmente serían identificables mediante técnicas estadísticas convencionales. Según Mduma et al. (2019), el </w:t>
      </w:r>
      <w:r>
        <w:rPr>
          <w:rFonts w:ascii="Arial" w:cs="Arial" w:eastAsia="Arial" w:hAnsi="Arial"/>
          <w:i/>
          <w:iCs/>
          <w:sz w:val="24"/>
          <w:szCs w:val="24"/>
        </w:rPr>
        <w:t xml:space="preserve">machine learning</w:t>
      </w:r>
      <w:r>
        <w:rPr>
          <w:rFonts w:ascii="Arial" w:cs="Arial" w:eastAsia="Arial" w:hAnsi="Arial"/>
          <w:sz w:val="24"/>
          <w:szCs w:val="24"/>
        </w:rPr>
        <w:t xml:space="preserve"> permite identificar a estudiantes en riesgo de abandono de manera temprana, posibilitando intervenciones oportunas que modifiquen la trayectoria académica antes de que el proceso de desvinculación se consolide. En este sentido, la predicción de la deserción representa una de las aplicaciones más estudiadas del aprendizaje automático en educación, con una creciente producción científica a escala global.</w:t>
      </w:r>
    </w:p>
    <w:p>
      <w:pPr>
        <w:pStyle w:val="Heading2"/>
        <w:spacing w:before="240" w:after="160"/>
      </w:pPr>
      <w:r>
        <w:rPr>
          <w:rFonts w:ascii="Arial" w:cs="Arial" w:eastAsia="Arial" w:hAnsi="Arial"/>
          <w:b/>
          <w:bCs/>
          <w:sz w:val="26"/>
          <w:szCs w:val="26"/>
        </w:rPr>
        <w:t xml:space="preserve">3.13.1 Aprendizaje supervisado: definición y taxonomía</w:t>
      </w:r>
    </w:p>
    <w:p>
      <w:pPr>
        <w:spacing w:after="160"/>
        <w:jc w:val="both"/>
      </w:pPr>
      <w:r>
        <w:rPr>
          <w:rFonts w:ascii="Arial" w:cs="Arial" w:eastAsia="Arial" w:hAnsi="Arial"/>
          <w:sz w:val="24"/>
          <w:szCs w:val="24"/>
        </w:rPr>
        <w:t xml:space="preserve">Dentro del </w:t>
      </w:r>
      <w:r>
        <w:rPr>
          <w:rFonts w:ascii="Arial" w:cs="Arial" w:eastAsia="Arial" w:hAnsi="Arial"/>
          <w:i/>
          <w:iCs/>
          <w:sz w:val="24"/>
          <w:szCs w:val="24"/>
        </w:rPr>
        <w:t xml:space="preserve">machine learning</w:t>
      </w:r>
      <w:r>
        <w:rPr>
          <w:rFonts w:ascii="Arial" w:cs="Arial" w:eastAsia="Arial" w:hAnsi="Arial"/>
          <w:sz w:val="24"/>
          <w:szCs w:val="24"/>
        </w:rPr>
        <w:t xml:space="preserve">, el aprendizaje supervisado constituye el paradigma de mayor aplicación en el ámbito educativo (Rastrollo-Guerrero et al., 2020). Este tipo de aprendizaje se caracteriza por el uso de un conjunto de datos etiquetados —denominado conjunto de entrenamiento— en el que cada instancia incluye tanto las variables predictoras como la variable de resultado o etiqueta de clase. A partir de estos ejemplos, el algoritmo construye un modelo que generaliza la relación entre predictores y resultado para clasificar o predecir nuevas instancias no observadas previamente (Mduma et al., 2019).</w:t>
      </w:r>
    </w:p>
    <w:p>
      <w:pPr>
        <w:spacing w:after="160"/>
        <w:jc w:val="both"/>
      </w:pPr>
      <w:r>
        <w:rPr>
          <w:rFonts w:ascii="Arial" w:cs="Arial" w:eastAsia="Arial" w:hAnsi="Arial"/>
          <w:sz w:val="24"/>
          <w:szCs w:val="24"/>
        </w:rPr>
        <w:t xml:space="preserve">Los algoritmos de aprendizaje supervisado se dividen en dos grandes categorías según la naturaleza de la variable a predecir: los modelos de </w:t>
      </w:r>
      <w:r>
        <w:rPr>
          <w:rFonts w:ascii="Arial" w:cs="Arial" w:eastAsia="Arial" w:hAnsi="Arial"/>
          <w:i/>
          <w:iCs/>
          <w:sz w:val="24"/>
          <w:szCs w:val="24"/>
        </w:rPr>
        <w:t xml:space="preserve">clasificación</w:t>
      </w:r>
      <w:r>
        <w:rPr>
          <w:rFonts w:ascii="Arial" w:cs="Arial" w:eastAsia="Arial" w:hAnsi="Arial"/>
          <w:sz w:val="24"/>
          <w:szCs w:val="24"/>
        </w:rPr>
        <w:t xml:space="preserve">, empleados cuando la salida es una categoría discreta —como la pertenencia o no del estudiante al grupo en riesgo de deserción—, y los modelos de </w:t>
      </w:r>
      <w:r>
        <w:rPr>
          <w:rFonts w:ascii="Arial" w:cs="Arial" w:eastAsia="Arial" w:hAnsi="Arial"/>
          <w:i/>
          <w:iCs/>
          <w:sz w:val="24"/>
          <w:szCs w:val="24"/>
        </w:rPr>
        <w:t xml:space="preserve">regresión</w:t>
      </w:r>
      <w:r>
        <w:rPr>
          <w:rFonts w:ascii="Arial" w:cs="Arial" w:eastAsia="Arial" w:hAnsi="Arial"/>
          <w:sz w:val="24"/>
          <w:szCs w:val="24"/>
        </w:rPr>
        <w:t xml:space="preserve">, utilizados cuando la variable de interés es continua. En el contexto de la predicción del abandono escolar, los modelos de clasificación son predominantes, dado que el objetivo central es determinar la probabilidad de que un estudiante pertenezca a la categoría de riesgo (Villar y Andrade de Andrade, 2024). Asimismo, dentro de los modelos de clasificación, los algoritmos de ensamble —que combinan múltiples clasificadores base para producir una predicción final— han demostrado consistentemente superioridad sobre los clasificadores individuales en tareas de predicción educativa compleja.</w:t>
      </w:r>
    </w:p>
    <w:p>
      <w:pPr>
        <w:spacing w:after="160"/>
        <w:jc w:val="both"/>
      </w:pPr>
      <w:r>
        <w:rPr>
          <w:rFonts w:ascii="Arial" w:cs="Arial" w:eastAsia="Arial" w:hAnsi="Arial"/>
          <w:sz w:val="24"/>
          <w:szCs w:val="24"/>
        </w:rPr>
        <w:t xml:space="preserve">Cabe destacar que el desempeño de los modelos supervisados depende de la calidad y representatividad de los datos de entrenamiento, así como de la selección adecuada de características o variables predictoras. En investigaciones sobre deserción escolar, este principio adquiere especial relevancia dado que los conjuntos de datos frecuentemente presentan desequilibrio de clases —es decir, una proporción marcadamente menor de estudiantes desertores respecto a quienes permanecen en el sistema—, lo que puede sesgar los modelos hacia la clase mayoritaria si no se aplican técnicas de corrección apropiadas (Villar y Andrade de Andrade, 2024). Técnicas como la sobremuestreo sintético </w:t>
      </w:r>
      <w:r>
        <w:rPr>
          <w:rFonts w:ascii="Arial" w:cs="Arial" w:eastAsia="Arial" w:hAnsi="Arial"/>
          <w:i/>
          <w:iCs/>
          <w:sz w:val="24"/>
          <w:szCs w:val="24"/>
        </w:rPr>
        <w:t xml:space="preserve">SMOTE</w:t>
      </w:r>
      <w:r>
        <w:rPr>
          <w:rFonts w:ascii="Arial" w:cs="Arial" w:eastAsia="Arial" w:hAnsi="Arial"/>
          <w:sz w:val="24"/>
          <w:szCs w:val="24"/>
        </w:rPr>
        <w:t xml:space="preserve"> (</w:t>
      </w:r>
      <w:r>
        <w:rPr>
          <w:rFonts w:ascii="Arial" w:cs="Arial" w:eastAsia="Arial" w:hAnsi="Arial"/>
          <w:i/>
          <w:iCs/>
          <w:sz w:val="24"/>
          <w:szCs w:val="24"/>
        </w:rPr>
        <w:t xml:space="preserve">Synthetic Minority Over-sampling Technique</w:t>
      </w:r>
      <w:r>
        <w:rPr>
          <w:rFonts w:ascii="Arial" w:cs="Arial" w:eastAsia="Arial" w:hAnsi="Arial"/>
          <w:sz w:val="24"/>
          <w:szCs w:val="24"/>
        </w:rPr>
        <w:t xml:space="preserve">) o el ajuste de costos son estrategias ampliamente documentadas para abordar esta limitación.</w:t>
      </w:r>
    </w:p>
    <w:p>
      <w:pPr>
        <w:pStyle w:val="Heading2"/>
        <w:spacing w:before="240" w:after="160"/>
      </w:pPr>
      <w:r>
        <w:rPr>
          <w:rFonts w:ascii="Arial" w:cs="Arial" w:eastAsia="Arial" w:hAnsi="Arial"/>
          <w:b/>
          <w:bCs/>
          <w:sz w:val="26"/>
          <w:szCs w:val="26"/>
        </w:rPr>
        <w:t xml:space="preserve">3.13.2 Minería de datos educativos y analítica del aprendizaje</w:t>
      </w:r>
    </w:p>
    <w:p>
      <w:pPr>
        <w:spacing w:after="160"/>
        <w:jc w:val="both"/>
      </w:pPr>
      <w:r>
        <w:rPr>
          <w:rFonts w:ascii="Arial" w:cs="Arial" w:eastAsia="Arial" w:hAnsi="Arial"/>
          <w:sz w:val="24"/>
          <w:szCs w:val="24"/>
        </w:rPr>
        <w:t xml:space="preserve">La </w:t>
      </w:r>
      <w:r>
        <w:rPr>
          <w:rFonts w:ascii="Arial" w:cs="Arial" w:eastAsia="Arial" w:hAnsi="Arial"/>
          <w:i/>
          <w:iCs/>
          <w:sz w:val="24"/>
          <w:szCs w:val="24"/>
        </w:rPr>
        <w:t xml:space="preserve">Educational Data Mining</w:t>
      </w:r>
      <w:r>
        <w:rPr>
          <w:rFonts w:ascii="Arial" w:cs="Arial" w:eastAsia="Arial" w:hAnsi="Arial"/>
          <w:sz w:val="24"/>
          <w:szCs w:val="24"/>
        </w:rPr>
        <w:t xml:space="preserve"> (EDM) y la analítica del aprendizaje (</w:t>
      </w:r>
      <w:r>
        <w:rPr>
          <w:rFonts w:ascii="Arial" w:cs="Arial" w:eastAsia="Arial" w:hAnsi="Arial"/>
          <w:i/>
          <w:iCs/>
          <w:sz w:val="24"/>
          <w:szCs w:val="24"/>
        </w:rPr>
        <w:t xml:space="preserve">learning analytics</w:t>
      </w:r>
      <w:r>
        <w:rPr>
          <w:rFonts w:ascii="Arial" w:cs="Arial" w:eastAsia="Arial" w:hAnsi="Arial"/>
          <w:sz w:val="24"/>
          <w:szCs w:val="24"/>
        </w:rPr>
        <w:t xml:space="preserve">) son campos interdisciplinarios que comparten el objetivo de extraer conocimiento significativo de los datos educativos, aunque difieren en su orientación epistemológica y metodológica. Mientras la EDM privilegia el desarrollo de nuevos métodos algorítmicos y el descubrimiento de patrones, la analítica del aprendizaje se enfoca en la aplicación de estos métodos para la toma de decisiones educativas en tiempo real (Romero y Ventura, 2020). En este mismo marco, Zawacki-Richter et al. (2019) identifican cuatro áreas principales de aplicación de la inteligencia artificial en la educación superior: sistemas de apoyo académico, evaluación y retroalimentación, selección y admisión, y sistemas de tutoría inteligente.</w:t>
      </w:r>
    </w:p>
    <w:p>
      <w:pPr>
        <w:spacing w:after="160"/>
        <w:jc w:val="both"/>
      </w:pPr>
      <w:r>
        <w:rPr>
          <w:rFonts w:ascii="Arial" w:cs="Arial" w:eastAsia="Arial" w:hAnsi="Arial"/>
          <w:sz w:val="24"/>
          <w:szCs w:val="24"/>
        </w:rPr>
        <w:t xml:space="preserve">La revisión sistemática realizada por Romero y Ventura (2020) sobre cuatro décadas de investigación en el campo documenta una transición desde enfoques estadísticos clásicos hacia métodos de aprendizaje profundo y modelos de ensamble, impulsada por el incremento sostenido en la disponibilidad y complejidad de los datos educativos. Asimismo, los autores señalan que las tareas de predicción —particularmente la identificación temprana de estudiantes en riesgo— representan la aplicación más frecuente del </w:t>
      </w:r>
      <w:r>
        <w:rPr>
          <w:rFonts w:ascii="Arial" w:cs="Arial" w:eastAsia="Arial" w:hAnsi="Arial"/>
          <w:i/>
          <w:iCs/>
          <w:sz w:val="24"/>
          <w:szCs w:val="24"/>
        </w:rPr>
        <w:t xml:space="preserve">machine learning</w:t>
      </w:r>
      <w:r>
        <w:rPr>
          <w:rFonts w:ascii="Arial" w:cs="Arial" w:eastAsia="Arial" w:hAnsi="Arial"/>
          <w:sz w:val="24"/>
          <w:szCs w:val="24"/>
        </w:rPr>
        <w:t xml:space="preserve"> en educación, concentrando más del 40% de los estudios publicados en la última década. Lo anterior refuerza la pertinencia científica y social de desarrollar modelos predictivos que integren variables psicoemocionales, como las propuestas en la presente investigación, en tanto este tipo de variables ha sido sistemáticamente subestimado en los modelos existentes.</w:t>
      </w:r>
    </w:p>
    <w:p>
      <w:pPr>
        <w:spacing w:after="160"/>
        <w:jc w:val="both"/>
      </w:pPr>
      <w:r>
        <w:rPr>
          <w:rFonts w:ascii="Arial" w:cs="Arial" w:eastAsia="Arial" w:hAnsi="Arial"/>
          <w:sz w:val="24"/>
          <w:szCs w:val="24"/>
        </w:rPr>
        <w:t xml:space="preserve">En el contexto latinoamericano, la aplicación de la EDM para el estudio de la deserción escolar enfrenta desafíos particulares relacionados con la escasez de conjuntos de datos públicos y la diversidad de factores contextuales que condicionan el abandono educativo. Como señalan Mduma et al. (2019), la mayoría de los modelos predictivos documentados en la literatura fueron desarrollados y validados en países con infraestructuras educativas consolidadas y condiciones socioeconómicas distintas a las de América Latina, lo que limita su transferibilidad directa. En este sentido, el desarrollo de modelos adaptados al contexto mexicano —como el que se propone en la presente investigación— representa una contribución original al campo, al incorporar variables psicoemocionales construidas con base en las particularidades culturales e institucionales del sistema educativo nacional.</w:t>
      </w:r>
    </w:p>
    <w:p>
      <w:pPr>
        <w:pStyle w:val="Heading2"/>
        <w:spacing w:before="240" w:after="160"/>
      </w:pPr>
      <w:r>
        <w:rPr>
          <w:rFonts w:ascii="Arial" w:cs="Arial" w:eastAsia="Arial" w:hAnsi="Arial"/>
          <w:b/>
          <w:bCs/>
          <w:sz w:val="26"/>
          <w:szCs w:val="26"/>
        </w:rPr>
        <w:t xml:space="preserve">3.13.3 Aplicaciones del aprendizaje supervisado en la predicción de la deserción escolar</w:t>
      </w:r>
    </w:p>
    <w:p>
      <w:pPr>
        <w:spacing w:after="160"/>
        <w:jc w:val="both"/>
      </w:pPr>
      <w:r>
        <w:rPr>
          <w:rFonts w:ascii="Arial" w:cs="Arial" w:eastAsia="Arial" w:hAnsi="Arial"/>
          <w:sz w:val="24"/>
          <w:szCs w:val="24"/>
        </w:rPr>
        <w:t xml:space="preserve">La aplicación del aprendizaje supervisado para la predicción del abandono escolar ha generado una extensa literatura que documenta tanto la eficacia de distintos algoritmos como las características de los datos empleados. Rastrollo-Guerrero et al. (2020), en su revisión de 70 estudios publicados en revistas indexadas, identificaron que los algoritmos más frecuentemente utilizados en tareas de predicción del rendimiento y la deserción estudiantil incluyen los árboles de decisión, las redes neuronales artificiales, las máquinas de soporte vectorial (</w:t>
      </w:r>
      <w:r>
        <w:rPr>
          <w:rFonts w:ascii="Arial" w:cs="Arial" w:eastAsia="Arial" w:hAnsi="Arial"/>
          <w:i/>
          <w:iCs/>
          <w:sz w:val="24"/>
          <w:szCs w:val="24"/>
        </w:rPr>
        <w:t xml:space="preserve">Support Vector Machines</w:t>
      </w:r>
      <w:r>
        <w:rPr>
          <w:rFonts w:ascii="Arial" w:cs="Arial" w:eastAsia="Arial" w:hAnsi="Arial"/>
          <w:sz w:val="24"/>
          <w:szCs w:val="24"/>
        </w:rPr>
        <w:t xml:space="preserve">), el </w:t>
      </w:r>
      <w:r>
        <w:rPr>
          <w:rFonts w:ascii="Arial" w:cs="Arial" w:eastAsia="Arial" w:hAnsi="Arial"/>
          <w:i/>
          <w:iCs/>
          <w:sz w:val="24"/>
          <w:szCs w:val="24"/>
        </w:rPr>
        <w:t xml:space="preserve">Random Forest</w:t>
      </w:r>
      <w:r>
        <w:rPr>
          <w:rFonts w:ascii="Arial" w:cs="Arial" w:eastAsia="Arial" w:hAnsi="Arial"/>
          <w:sz w:val="24"/>
          <w:szCs w:val="24"/>
        </w:rPr>
        <w:t xml:space="preserve"> y los métodos de gradiente potenciado (</w:t>
      </w:r>
      <w:r>
        <w:rPr>
          <w:rFonts w:ascii="Arial" w:cs="Arial" w:eastAsia="Arial" w:hAnsi="Arial"/>
          <w:i/>
          <w:iCs/>
          <w:sz w:val="24"/>
          <w:szCs w:val="24"/>
        </w:rPr>
        <w:t xml:space="preserve">gradient boosting</w:t>
      </w:r>
      <w:r>
        <w:rPr>
          <w:rFonts w:ascii="Arial" w:cs="Arial" w:eastAsia="Arial" w:hAnsi="Arial"/>
          <w:sz w:val="24"/>
          <w:szCs w:val="24"/>
        </w:rPr>
        <w:t xml:space="preserve">). Los resultados de estas investigaciones muestran de manera consistente que los modelos de ensamble —aquellos que combinan múltiples clasificadores base— tienden a superar a los clasificadores individuales en métricas de precisión, sensibilidad y área bajo la curva ROC.</w:t>
      </w:r>
    </w:p>
    <w:p>
      <w:pPr>
        <w:spacing w:after="160"/>
        <w:jc w:val="both"/>
      </w:pPr>
      <w:r>
        <w:rPr>
          <w:rFonts w:ascii="Arial" w:cs="Arial" w:eastAsia="Arial" w:hAnsi="Arial"/>
          <w:sz w:val="24"/>
          <w:szCs w:val="24"/>
        </w:rPr>
        <w:t xml:space="preserve">Por otro lado, Villar y Andrade de Andrade (2024), en un estudio comparativo aplicado a una institución de educación superior, evaluaron el desempeño de siete algoritmos supervisados incluyendo </w:t>
      </w:r>
      <w:r>
        <w:rPr>
          <w:rFonts w:ascii="Arial" w:cs="Arial" w:eastAsia="Arial" w:hAnsi="Arial"/>
          <w:i/>
          <w:iCs/>
          <w:sz w:val="24"/>
          <w:szCs w:val="24"/>
        </w:rPr>
        <w:t xml:space="preserve">Decision Tree</w:t>
      </w:r>
      <w:r>
        <w:rPr>
          <w:rFonts w:ascii="Arial" w:cs="Arial" w:eastAsia="Arial" w:hAnsi="Arial"/>
          <w:sz w:val="24"/>
          <w:szCs w:val="24"/>
        </w:rPr>
        <w:t xml:space="preserve">, </w:t>
      </w:r>
      <w:r>
        <w:rPr>
          <w:rFonts w:ascii="Arial" w:cs="Arial" w:eastAsia="Arial" w:hAnsi="Arial"/>
          <w:i/>
          <w:iCs/>
          <w:sz w:val="24"/>
          <w:szCs w:val="24"/>
        </w:rPr>
        <w:t xml:space="preserve">Support Vector Machine</w:t>
      </w:r>
      <w:r>
        <w:rPr>
          <w:rFonts w:ascii="Arial" w:cs="Arial" w:eastAsia="Arial" w:hAnsi="Arial"/>
          <w:sz w:val="24"/>
          <w:szCs w:val="24"/>
        </w:rPr>
        <w:t xml:space="preserve">, </w:t>
      </w:r>
      <w:r>
        <w:rPr>
          <w:rFonts w:ascii="Arial" w:cs="Arial" w:eastAsia="Arial" w:hAnsi="Arial"/>
          <w:i/>
          <w:iCs/>
          <w:sz w:val="24"/>
          <w:szCs w:val="24"/>
        </w:rPr>
        <w:t xml:space="preserve">Random Forest</w:t>
      </w:r>
      <w:r>
        <w:rPr>
          <w:rFonts w:ascii="Arial" w:cs="Arial" w:eastAsia="Arial" w:hAnsi="Arial"/>
          <w:sz w:val="24"/>
          <w:szCs w:val="24"/>
        </w:rPr>
        <w:t xml:space="preserve">, </w:t>
      </w:r>
      <w:r>
        <w:rPr>
          <w:rFonts w:ascii="Arial" w:cs="Arial" w:eastAsia="Arial" w:hAnsi="Arial"/>
          <w:i/>
          <w:iCs/>
          <w:sz w:val="24"/>
          <w:szCs w:val="24"/>
        </w:rPr>
        <w:t xml:space="preserve">Gradient Boosting</w:t>
      </w:r>
      <w:r>
        <w:rPr>
          <w:rFonts w:ascii="Arial" w:cs="Arial" w:eastAsia="Arial" w:hAnsi="Arial"/>
          <w:sz w:val="24"/>
          <w:szCs w:val="24"/>
        </w:rPr>
        <w:t xml:space="preserve">, XGBoost, CatBoost y LightGBM para la predicción del abandono y el éxito académico. Sus hallazgos indican que los algoritmos de </w:t>
      </w:r>
      <w:r>
        <w:rPr>
          <w:rFonts w:ascii="Arial" w:cs="Arial" w:eastAsia="Arial" w:hAnsi="Arial"/>
          <w:i/>
          <w:iCs/>
          <w:sz w:val="24"/>
          <w:szCs w:val="24"/>
        </w:rPr>
        <w:t xml:space="preserve">boosting</w:t>
      </w:r>
      <w:r>
        <w:rPr>
          <w:rFonts w:ascii="Arial" w:cs="Arial" w:eastAsia="Arial" w:hAnsi="Arial"/>
          <w:sz w:val="24"/>
          <w:szCs w:val="24"/>
        </w:rPr>
        <w:t xml:space="preserve"> —particularmente LightGBM y CatBoost con ajuste de hiperparámetros mediante Optuna— superaron de manera significativa a los métodos de clasificación tradicionales. Sumado a esto, el uso de técnicas de remuestreo como </w:t>
      </w:r>
      <w:r>
        <w:rPr>
          <w:rFonts w:ascii="Arial" w:cs="Arial" w:eastAsia="Arial" w:hAnsi="Arial"/>
          <w:i/>
          <w:iCs/>
          <w:sz w:val="24"/>
          <w:szCs w:val="24"/>
        </w:rPr>
        <w:t xml:space="preserve">SMOTE</w:t>
      </w:r>
      <w:r>
        <w:rPr>
          <w:rFonts w:ascii="Arial" w:cs="Arial" w:eastAsia="Arial" w:hAnsi="Arial"/>
          <w:sz w:val="24"/>
          <w:szCs w:val="24"/>
        </w:rPr>
        <w:t xml:space="preserve"> demostró ser determinante para mitigar el impacto del desequilibrio de clases sobre el desempeño predictivo, un hallazgo de especial relevancia para la presente investigación dado que los conjuntos de datos sobre deserción escolar suelen presentar esta característica.</w:t>
      </w:r>
    </w:p>
    <w:p>
      <w:pPr>
        <w:spacing w:after="160"/>
        <w:jc w:val="both"/>
      </w:pPr>
      <w:r>
        <w:rPr>
          <w:rFonts w:ascii="Arial" w:cs="Arial" w:eastAsia="Arial" w:hAnsi="Arial"/>
          <w:sz w:val="24"/>
          <w:szCs w:val="24"/>
        </w:rPr>
        <w:t xml:space="preserve">Particularmente relevante para los objetivos de la presente investigación es la evidencia que vincula el desempeño de los modelos supervisados con la incorporación de variables psicoemocionales y de bienestar. Zawacki-Richter et al. (2019) identificaron que, si bien la mayoría de los estudios sobre inteligencia artificial en educación superior se centran en variables académicas o conductuales, existe una creciente tendencia a incorporar indicadores psicológicos como la autoeficacia, el sentido de pertenencia y el estrés académico como predictores complementarios. A partir de lo anterior, la presente investigación propone un modelo de </w:t>
      </w:r>
      <w:r>
        <w:rPr>
          <w:rFonts w:ascii="Arial" w:cs="Arial" w:eastAsia="Arial" w:hAnsi="Arial"/>
          <w:i/>
          <w:iCs/>
          <w:sz w:val="24"/>
          <w:szCs w:val="24"/>
        </w:rPr>
        <w:t xml:space="preserve">Stacking Ensemble</w:t>
      </w:r>
      <w:r>
        <w:rPr>
          <w:rFonts w:ascii="Arial" w:cs="Arial" w:eastAsia="Arial" w:hAnsi="Arial"/>
          <w:sz w:val="24"/>
          <w:szCs w:val="24"/>
        </w:rPr>
        <w:t xml:space="preserve"> que integra estas variables en un instrumento psicométrico de 165 ítems diseñado específicamente para capturar la dimensión psicoemocional del riesgo de deserción en el contexto universitario mexicano.</w:t>
      </w:r>
    </w:p>
    <w:p>
      <w:pPr>
        <w:pBdr>
          <w:top w:val="single" w:color="C00000" w:sz="6" w:space="4"/>
          <w:left w:val="single" w:color="C00000" w:sz="6" w:space="4"/>
          <w:bottom w:val="single" w:color="C00000" w:sz="6" w:space="4"/>
          <w:right w:val="single" w:color="C00000" w:sz="6" w:space="4"/>
        </w:pBdr>
        <w:spacing w:before="160" w:after="160"/>
        <w:ind w:left="720" w:right="720"/>
      </w:pPr>
      <w:r>
        <w:rPr>
          <w:rFonts w:ascii="Arial" w:cs="Arial" w:eastAsia="Arial" w:hAnsi="Arial"/>
          <w:b/>
          <w:bCs/>
          <w:color w:val="C00000"/>
          <w:sz w:val="22"/>
          <w:szCs w:val="22"/>
        </w:rPr>
        <w:t xml:space="preserve">⚠ NOTA DE REVISIÓN: Verificar si existe algún estudio que aplique específicamente ML con variables psicoemocionales en México o Querétaro para citar como antecedente directo en esta sección. Si no existe, esto refuerza la brecha de investigación.</w:t>
      </w:r>
    </w:p>
    <w:p>
      <w:pPr>
        <w:spacing w:after="160"/>
        <w:jc w:val="both"/>
      </w:pPr>
      <w:r>
        <w:rPr>
          <w:rFonts w:ascii="Arial" w:cs="Arial" w:eastAsia="Arial" w:hAnsi="Arial"/>
          <w:sz w:val="24"/>
          <w:szCs w:val="24"/>
        </w:rPr>
        <w:t xml:space="preserve">En consecuencia, el aprendizaje automático supervisado no debe concebirse como una herramienta de predicción aislada, sino como un componente metodológico integrado en una estrategia institucional de intervención temprana. La identificación de estudiantes en riesgo cobra significado pedagógico únicamente cuando se articula con procesos de orientación, apoyo socioemocional y ajuste de las condiciones académicas que precipitan el abandono. Así, la contribución central de los modelos predictivos al campo educativo no reside exclusivamente en la precisión de sus estimaciones, sino en la </w:t>
      </w:r>
      <w:r>
        <w:rPr>
          <w:rFonts w:ascii="Arial" w:cs="Arial" w:eastAsia="Arial" w:hAnsi="Arial"/>
          <w:i/>
          <w:iCs/>
          <w:sz w:val="24"/>
          <w:szCs w:val="24"/>
        </w:rPr>
        <w:t xml:space="preserve">accionabilidad</w:t>
      </w:r>
      <w:r>
        <w:rPr>
          <w:rFonts w:ascii="Arial" w:cs="Arial" w:eastAsia="Arial" w:hAnsi="Arial"/>
          <w:sz w:val="24"/>
          <w:szCs w:val="24"/>
        </w:rPr>
        <w:t xml:space="preserve"> de la información que generan —su capacidad de traducirse en decisiones institucionales concretas que modifiquen favorablemente la trayectoria de los estudiantes en situación de vulnerabilidad.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sz w:val="28"/>
      <w:szCs w:val="28"/>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2026-04-01T21:59:14.613Z</dcterms:created>
  <dcterms:modified xsi:type="dcterms:W3CDTF">2026-04-01T21:59:14.615Z</dcterms:modified>
</cp:coreProperties>
</file>

<file path=docProps/custom.xml><?xml version="1.0" encoding="utf-8"?>
<Properties xmlns="http://schemas.openxmlformats.org/officeDocument/2006/custom-properties" xmlns:vt="http://schemas.openxmlformats.org/officeDocument/2006/docPropsVTypes"/>
</file>