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200"/>
      </w:pPr>
      <w:r>
        <w:rPr>
          <w:rFonts w:ascii="Arial" w:cs="Arial" w:eastAsia="Arial" w:hAnsi="Arial"/>
          <w:b/>
          <w:bCs/>
          <w:sz w:val="28"/>
          <w:szCs w:val="28"/>
        </w:rPr>
        <w:t xml:space="preserve">3.14 Algoritmos de ensamble: Random Forest, XGBoost y Gradient Boosting</w:t>
      </w:r>
    </w:p>
    <w:p>
      <w:pPr>
        <w:spacing w:after="160"/>
        <w:jc w:val="both"/>
      </w:pPr>
      <w:r>
        <w:rPr>
          <w:rFonts w:ascii="Arial" w:cs="Arial" w:eastAsia="Arial" w:hAnsi="Arial"/>
          <w:sz w:val="24"/>
          <w:szCs w:val="24"/>
        </w:rPr>
        <w:t xml:space="preserve">Los algoritmos de ensamble constituyen una familia de métodos de aprendizaje automático cuyo principio fundamental consiste en combinar múltiples modelos individuales —denominados clasificadores o regresores base— para obtener una predicción final más robusta, precisa y generalizable que la que cualquiera de los modelos podría alcanzar de manera independiente. Este paradigma se sustenta en el concepto de diversidad: mientras los modelos individuales pueden cometer errores en distintas instancias, su combinación tiende a cancelar mutuamente dichos errores, reduciendo tanto el sesgo como la varianza del predictor resultante (Breiman, 2001). En el contexto de la predicción de la deserción escolar, esta característica resulta especialmente valiosa dado que el fenómeno es inherentemente multicausal y sus patrones no se distribuyen linealmente en el espacio de variables.</w:t>
      </w:r>
    </w:p>
    <w:p>
      <w:pPr>
        <w:spacing w:after="160"/>
        <w:jc w:val="both"/>
      </w:pPr>
      <w:r>
        <w:rPr>
          <w:rFonts w:ascii="Arial" w:cs="Arial" w:eastAsia="Arial" w:hAnsi="Arial"/>
          <w:sz w:val="24"/>
          <w:szCs w:val="24"/>
        </w:rPr>
        <w:t xml:space="preserve">Dentro de los métodos de ensamble, la literatura distingue principalmente dos grandes estrategias de combinación: el </w:t>
      </w:r>
      <w:r>
        <w:rPr>
          <w:rFonts w:ascii="Arial" w:cs="Arial" w:eastAsia="Arial" w:hAnsi="Arial"/>
          <w:i/>
          <w:iCs/>
          <w:sz w:val="24"/>
          <w:szCs w:val="24"/>
        </w:rPr>
        <w:t xml:space="preserve">bagging</w:t>
      </w:r>
      <w:r>
        <w:rPr>
          <w:rFonts w:ascii="Arial" w:cs="Arial" w:eastAsia="Arial" w:hAnsi="Arial"/>
          <w:sz w:val="24"/>
          <w:szCs w:val="24"/>
        </w:rPr>
        <w:t xml:space="preserve"> (</w:t>
      </w:r>
      <w:r>
        <w:rPr>
          <w:rFonts w:ascii="Arial" w:cs="Arial" w:eastAsia="Arial" w:hAnsi="Arial"/>
          <w:i/>
          <w:iCs/>
          <w:sz w:val="24"/>
          <w:szCs w:val="24"/>
        </w:rPr>
        <w:t xml:space="preserve">bootstrap aggregating</w:t>
      </w:r>
      <w:r>
        <w:rPr>
          <w:rFonts w:ascii="Arial" w:cs="Arial" w:eastAsia="Arial" w:hAnsi="Arial"/>
          <w:sz w:val="24"/>
          <w:szCs w:val="24"/>
        </w:rPr>
        <w:t xml:space="preserve">), que construye los modelos base de forma paralela sobre subconjuntos aleatorios del conjunto de entrenamiento y promedia sus predicciones, y el </w:t>
      </w:r>
      <w:r>
        <w:rPr>
          <w:rFonts w:ascii="Arial" w:cs="Arial" w:eastAsia="Arial" w:hAnsi="Arial"/>
          <w:i/>
          <w:iCs/>
          <w:sz w:val="24"/>
          <w:szCs w:val="24"/>
        </w:rPr>
        <w:t xml:space="preserve">boosting</w:t>
      </w:r>
      <w:r>
        <w:rPr>
          <w:rFonts w:ascii="Arial" w:cs="Arial" w:eastAsia="Arial" w:hAnsi="Arial"/>
          <w:sz w:val="24"/>
          <w:szCs w:val="24"/>
        </w:rPr>
        <w:t xml:space="preserve">, que los construye de manera secuencial, de tal forma que cada modelo nuevo se concentra en corregir los errores del anterior. Mientras el primer enfoque privilegia la reducción de la varianza, el segundo apunta primordialmente a reducir el sesgo del predictor acumulado. Los tres algoritmos centrales de la presente investigación —</w:t>
      </w:r>
      <w:r>
        <w:rPr>
          <w:rFonts w:ascii="Arial" w:cs="Arial" w:eastAsia="Arial" w:hAnsi="Arial"/>
          <w:i/>
          <w:iCs/>
          <w:sz w:val="24"/>
          <w:szCs w:val="24"/>
        </w:rPr>
        <w:t xml:space="preserve">Random Forest</w:t>
      </w:r>
      <w:r>
        <w:rPr>
          <w:rFonts w:ascii="Arial" w:cs="Arial" w:eastAsia="Arial" w:hAnsi="Arial"/>
          <w:sz w:val="24"/>
          <w:szCs w:val="24"/>
        </w:rPr>
        <w:t xml:space="preserve">, </w:t>
      </w:r>
      <w:r>
        <w:rPr>
          <w:rFonts w:ascii="Arial" w:cs="Arial" w:eastAsia="Arial" w:hAnsi="Arial"/>
          <w:i/>
          <w:iCs/>
          <w:sz w:val="24"/>
          <w:szCs w:val="24"/>
        </w:rPr>
        <w:t xml:space="preserve">Gradient Boosting</w:t>
      </w:r>
      <w:r>
        <w:rPr>
          <w:rFonts w:ascii="Arial" w:cs="Arial" w:eastAsia="Arial" w:hAnsi="Arial"/>
          <w:sz w:val="24"/>
          <w:szCs w:val="24"/>
        </w:rPr>
        <w:t xml:space="preserve"> y XGBoost— pertenecen, respectivamente, al paradigma de </w:t>
      </w:r>
      <w:r>
        <w:rPr>
          <w:rFonts w:ascii="Arial" w:cs="Arial" w:eastAsia="Arial" w:hAnsi="Arial"/>
          <w:i/>
          <w:iCs/>
          <w:sz w:val="24"/>
          <w:szCs w:val="24"/>
        </w:rPr>
        <w:t xml:space="preserve">bagging</w:t>
      </w:r>
      <w:r>
        <w:rPr>
          <w:rFonts w:ascii="Arial" w:cs="Arial" w:eastAsia="Arial" w:hAnsi="Arial"/>
          <w:sz w:val="24"/>
          <w:szCs w:val="24"/>
        </w:rPr>
        <w:t xml:space="preserve"> el primero, y al de </w:t>
      </w:r>
      <w:r>
        <w:rPr>
          <w:rFonts w:ascii="Arial" w:cs="Arial" w:eastAsia="Arial" w:hAnsi="Arial"/>
          <w:i/>
          <w:iCs/>
          <w:sz w:val="24"/>
          <w:szCs w:val="24"/>
        </w:rPr>
        <w:t xml:space="preserve">boosting</w:t>
      </w:r>
      <w:r>
        <w:rPr>
          <w:rFonts w:ascii="Arial" w:cs="Arial" w:eastAsia="Arial" w:hAnsi="Arial"/>
          <w:sz w:val="24"/>
          <w:szCs w:val="24"/>
        </w:rPr>
        <w:t xml:space="preserve"> los dos últimos, aunque comparten el uso de árboles de decisión como modelos base (Kotsiantis et al., 2007).</w:t>
      </w:r>
    </w:p>
    <w:p>
      <w:pPr>
        <w:pStyle w:val="Heading2"/>
        <w:spacing w:before="240" w:after="160"/>
      </w:pPr>
      <w:r>
        <w:rPr>
          <w:rFonts w:ascii="Arial" w:cs="Arial" w:eastAsia="Arial" w:hAnsi="Arial"/>
          <w:b/>
          <w:bCs/>
          <w:sz w:val="26"/>
          <w:szCs w:val="26"/>
        </w:rPr>
        <w:t xml:space="preserve">3.14.1 Random Forest: bosques aleatorios y reducción de varianza</w:t>
      </w:r>
    </w:p>
    <w:p>
      <w:pPr>
        <w:spacing w:after="160"/>
        <w:jc w:val="both"/>
      </w:pPr>
      <w:r>
        <w:rPr>
          <w:rFonts w:ascii="Arial" w:cs="Arial" w:eastAsia="Arial" w:hAnsi="Arial"/>
          <w:sz w:val="24"/>
          <w:szCs w:val="24"/>
        </w:rPr>
        <w:t xml:space="preserve">El algoritmo </w:t>
      </w:r>
      <w:r>
        <w:rPr>
          <w:rFonts w:ascii="Arial" w:cs="Arial" w:eastAsia="Arial" w:hAnsi="Arial"/>
          <w:i/>
          <w:iCs/>
          <w:sz w:val="24"/>
          <w:szCs w:val="24"/>
        </w:rPr>
        <w:t xml:space="preserve">Random Forest</w:t>
      </w:r>
      <w:r>
        <w:rPr>
          <w:rFonts w:ascii="Arial" w:cs="Arial" w:eastAsia="Arial" w:hAnsi="Arial"/>
          <w:sz w:val="24"/>
          <w:szCs w:val="24"/>
        </w:rPr>
        <w:t xml:space="preserve"> fue formalizado por Breiman (2001) como una extensión del método de </w:t>
      </w:r>
      <w:r>
        <w:rPr>
          <w:rFonts w:ascii="Arial" w:cs="Arial" w:eastAsia="Arial" w:hAnsi="Arial"/>
          <w:i/>
          <w:iCs/>
          <w:sz w:val="24"/>
          <w:szCs w:val="24"/>
        </w:rPr>
        <w:t xml:space="preserve">bagging</w:t>
      </w:r>
      <w:r>
        <w:rPr>
          <w:rFonts w:ascii="Arial" w:cs="Arial" w:eastAsia="Arial" w:hAnsi="Arial"/>
          <w:sz w:val="24"/>
          <w:szCs w:val="24"/>
        </w:rPr>
        <w:t xml:space="preserve"> que introduce una fuente adicional de aleatoriedad en la construcción de los árboles individuales. En su definición canónica, un </w:t>
      </w:r>
      <w:r>
        <w:rPr>
          <w:rFonts w:ascii="Arial" w:cs="Arial" w:eastAsia="Arial" w:hAnsi="Arial"/>
          <w:i/>
          <w:iCs/>
          <w:sz w:val="24"/>
          <w:szCs w:val="24"/>
        </w:rPr>
        <w:t xml:space="preserve">Random Forest</w:t>
      </w:r>
      <w:r>
        <w:rPr>
          <w:rFonts w:ascii="Arial" w:cs="Arial" w:eastAsia="Arial" w:hAnsi="Arial"/>
          <w:sz w:val="24"/>
          <w:szCs w:val="24"/>
        </w:rPr>
        <w:t xml:space="preserve"> es un clasificador compuesto por una colección de árboles de decisión {h(x, Θk), k = 1, ...}, donde Θk son vectores aleatorios independientes e idénticamente distribuidos, y cada árbol emite un voto unitario por la clase más probable ante una entrada x. La predicción final se determina por votación mayoritaria entre los T árboles que componen el bosque.</w:t>
      </w:r>
    </w:p>
    <w:p>
      <w:pPr>
        <w:spacing w:after="160"/>
        <w:jc w:val="both"/>
      </w:pPr>
      <w:r>
        <w:rPr>
          <w:rFonts w:ascii="Arial" w:cs="Arial" w:eastAsia="Arial" w:hAnsi="Arial"/>
          <w:sz w:val="24"/>
          <w:szCs w:val="24"/>
        </w:rPr>
        <w:t xml:space="preserve">Un aspecto teórico de especial relevancia es que Breiman (2001) demostró formalmente —mediante la Ley de los Grandes Números— que el error de generalización del </w:t>
      </w:r>
      <w:r>
        <w:rPr>
          <w:rFonts w:ascii="Arial" w:cs="Arial" w:eastAsia="Arial" w:hAnsi="Arial"/>
          <w:i/>
          <w:iCs/>
          <w:sz w:val="24"/>
          <w:szCs w:val="24"/>
        </w:rPr>
        <w:t xml:space="preserve">Random Forest</w:t>
      </w:r>
      <w:r>
        <w:rPr>
          <w:rFonts w:ascii="Arial" w:cs="Arial" w:eastAsia="Arial" w:hAnsi="Arial"/>
          <w:sz w:val="24"/>
          <w:szCs w:val="24"/>
        </w:rPr>
        <w:t xml:space="preserve"> converge a un límite cuando el número de árboles tiende a infinito, lo que implica que el modelo no presenta sobreajuste (</w:t>
      </w:r>
      <w:r>
        <w:rPr>
          <w:rFonts w:ascii="Arial" w:cs="Arial" w:eastAsia="Arial" w:hAnsi="Arial"/>
          <w:i/>
          <w:iCs/>
          <w:sz w:val="24"/>
          <w:szCs w:val="24"/>
        </w:rPr>
        <w:t xml:space="preserve">overfitting</w:t>
      </w:r>
      <w:r>
        <w:rPr>
          <w:rFonts w:ascii="Arial" w:cs="Arial" w:eastAsia="Arial" w:hAnsi="Arial"/>
          <w:sz w:val="24"/>
          <w:szCs w:val="24"/>
        </w:rPr>
        <w:t xml:space="preserve">) al incrementar la cantidad de árboles. Este resultado distingue al </w:t>
      </w:r>
      <w:r>
        <w:rPr>
          <w:rFonts w:ascii="Arial" w:cs="Arial" w:eastAsia="Arial" w:hAnsi="Arial"/>
          <w:i/>
          <w:iCs/>
          <w:sz w:val="24"/>
          <w:szCs w:val="24"/>
        </w:rPr>
        <w:t xml:space="preserve">Random Forest</w:t>
      </w:r>
      <w:r>
        <w:rPr>
          <w:rFonts w:ascii="Arial" w:cs="Arial" w:eastAsia="Arial" w:hAnsi="Arial"/>
          <w:sz w:val="24"/>
          <w:szCs w:val="24"/>
        </w:rPr>
        <w:t xml:space="preserve"> de los árboles individuales, que son altamente susceptibles al sobreajuste. El autor señala que la precisión del bosque depende de dos parámetros: la fortaleza de los árboles individuales —su capacidad para clasificar correctamente— y la correlación entre ellos; así, la estrategia óptima consiste en construir árboles fuertes pero con la menor correlación mutua posible, lo que se logra mediante la selección aleatoria de un subconjunto de características en cada nodo de división.</w:t>
      </w:r>
    </w:p>
    <w:p>
      <w:pPr>
        <w:spacing w:after="160"/>
        <w:jc w:val="both"/>
      </w:pPr>
      <w:r>
        <w:rPr>
          <w:rFonts w:ascii="Arial" w:cs="Arial" w:eastAsia="Arial" w:hAnsi="Arial"/>
          <w:sz w:val="24"/>
          <w:szCs w:val="24"/>
        </w:rPr>
        <w:t xml:space="preserve">Asimismo, el </w:t>
      </w:r>
      <w:r>
        <w:rPr>
          <w:rFonts w:ascii="Arial" w:cs="Arial" w:eastAsia="Arial" w:hAnsi="Arial"/>
          <w:i/>
          <w:iCs/>
          <w:sz w:val="24"/>
          <w:szCs w:val="24"/>
        </w:rPr>
        <w:t xml:space="preserve">Random Forest</w:t>
      </w:r>
      <w:r>
        <w:rPr>
          <w:rFonts w:ascii="Arial" w:cs="Arial" w:eastAsia="Arial" w:hAnsi="Arial"/>
          <w:sz w:val="24"/>
          <w:szCs w:val="24"/>
        </w:rPr>
        <w:t xml:space="preserve"> genera de manera implícita estimaciones de importancia de variables (</w:t>
      </w:r>
      <w:r>
        <w:rPr>
          <w:rFonts w:ascii="Arial" w:cs="Arial" w:eastAsia="Arial" w:hAnsi="Arial"/>
          <w:i/>
          <w:iCs/>
          <w:sz w:val="24"/>
          <w:szCs w:val="24"/>
        </w:rPr>
        <w:t xml:space="preserve">feature importance</w:t>
      </w:r>
      <w:r>
        <w:rPr>
          <w:rFonts w:ascii="Arial" w:cs="Arial" w:eastAsia="Arial" w:hAnsi="Arial"/>
          <w:sz w:val="24"/>
          <w:szCs w:val="24"/>
        </w:rPr>
        <w:t xml:space="preserve">) a partir de la reducción promedio de impureza que aporta cada variable en todos los árboles del bosque. Esta propiedad lo convierte en una herramienta no solo predictiva, sino también explicativa, de gran utilidad para la investigación educativa orientada a identificar qué variables psicoemocionales tienen mayor peso relativo en la predicción del abandono escolar. En este mismo marco, la robustez del algoritmo ante datos ruidosos y su capacidad para manejar conjuntos de variables de alta dimensionalidad, sin requerir transformaciones previas, lo posicionan como uno de los modelos de ensamble más empleados en investigación educativa (Rastrollo-Guerrero et al., 2020).</w:t>
      </w:r>
    </w:p>
    <w:p>
      <w:pPr>
        <w:pStyle w:val="Heading2"/>
        <w:spacing w:before="240" w:after="160"/>
      </w:pPr>
      <w:r>
        <w:rPr>
          <w:rFonts w:ascii="Arial" w:cs="Arial" w:eastAsia="Arial" w:hAnsi="Arial"/>
          <w:b/>
          <w:bCs/>
          <w:sz w:val="26"/>
          <w:szCs w:val="26"/>
        </w:rPr>
        <w:t xml:space="preserve">3.14.2 Gradient Boosting: potenciación secuencial por descenso de gradiente</w:t>
      </w:r>
    </w:p>
    <w:p>
      <w:pPr>
        <w:spacing w:after="160"/>
        <w:jc w:val="both"/>
      </w:pPr>
      <w:r>
        <w:rPr>
          <w:rFonts w:ascii="Arial" w:cs="Arial" w:eastAsia="Arial" w:hAnsi="Arial"/>
          <w:sz w:val="24"/>
          <w:szCs w:val="24"/>
        </w:rPr>
        <w:t xml:space="preserve">El </w:t>
      </w:r>
      <w:r>
        <w:rPr>
          <w:rFonts w:ascii="Arial" w:cs="Arial" w:eastAsia="Arial" w:hAnsi="Arial"/>
          <w:i/>
          <w:iCs/>
          <w:sz w:val="24"/>
          <w:szCs w:val="24"/>
        </w:rPr>
        <w:t xml:space="preserve">Gradient Boosting</w:t>
      </w:r>
      <w:r>
        <w:rPr>
          <w:rFonts w:ascii="Arial" w:cs="Arial" w:eastAsia="Arial" w:hAnsi="Arial"/>
          <w:sz w:val="24"/>
          <w:szCs w:val="24"/>
        </w:rPr>
        <w:t xml:space="preserve"> fue introducido por Friedman (2001) como un marco general de optimización numérica en el espacio de funciones —a diferencia de la optimización tradicional en el espacio de parámetros— orientado a construir predictores aditivos de la forma F*(x) = Σ fm(x), donde cada componente incremental fm(x) se obtiene ajustando un árbol de regresión en la dirección del gradiente negativo de una función de pérdida diferenciable y convexa. Este enfoque de descenso de gradiente en el espacio funcional permite adaptar el algoritmo a distintos criterios de optimización —mínimos cuadrados, desviación absoluta, pérdida de Huber, verosimilitud logística— simplemente modificando la función de pérdida, lo que confiere al método una generalidad notable.</w:t>
      </w:r>
    </w:p>
    <w:p>
      <w:pPr>
        <w:spacing w:after="160"/>
        <w:jc w:val="both"/>
      </w:pPr>
      <w:r>
        <w:rPr>
          <w:rFonts w:ascii="Arial" w:cs="Arial" w:eastAsia="Arial" w:hAnsi="Arial"/>
          <w:sz w:val="24"/>
          <w:szCs w:val="24"/>
        </w:rPr>
        <w:t xml:space="preserve">El proceso de construcción es secuencial: en cada iteración m, el algoritmo calcula los residuos pseudo-negativos del modelo acumulado hasta ese punto, ajusta un árbol de regresión sobre dichos residuos y añade el árbol escalado por una tasa de aprendizaje ρm (</w:t>
      </w:r>
      <w:r>
        <w:rPr>
          <w:rFonts w:ascii="Arial" w:cs="Arial" w:eastAsia="Arial" w:hAnsi="Arial"/>
          <w:i/>
          <w:iCs/>
          <w:sz w:val="24"/>
          <w:szCs w:val="24"/>
        </w:rPr>
        <w:t xml:space="preserve">learning rate</w:t>
      </w:r>
      <w:r>
        <w:rPr>
          <w:rFonts w:ascii="Arial" w:cs="Arial" w:eastAsia="Arial" w:hAnsi="Arial"/>
          <w:sz w:val="24"/>
          <w:szCs w:val="24"/>
        </w:rPr>
        <w:t xml:space="preserve">) al predictor. La tasa de aprendizaje controla la contribución de cada árbol al ensamble y funciona como mecanismo de regularización: valores pequeños requieren mayor número de iteraciones pero tienden a producir modelos más generalizables (Friedman, 2001). Cabe destacar que Friedman también introdujo técnicas específicas para los árboles de decisión dentro de este marco, como la poda de nodos terminales y la interpretación de las puntuaciones de importancia de variables mediante diagramas de dependencia parcial (</w:t>
      </w:r>
      <w:r>
        <w:rPr>
          <w:rFonts w:ascii="Arial" w:cs="Arial" w:eastAsia="Arial" w:hAnsi="Arial"/>
          <w:i/>
          <w:iCs/>
          <w:sz w:val="24"/>
          <w:szCs w:val="24"/>
        </w:rPr>
        <w:t xml:space="preserve">partial dependence plots</w:t>
      </w:r>
      <w:r>
        <w:rPr>
          <w:rFonts w:ascii="Arial" w:cs="Arial" w:eastAsia="Arial" w:hAnsi="Arial"/>
          <w:sz w:val="24"/>
          <w:szCs w:val="24"/>
        </w:rPr>
        <w:t xml:space="preserve">), que permiten visualizar el efecto marginal de cada variable predictora sobre el resultado.</w:t>
      </w:r>
    </w:p>
    <w:p>
      <w:pPr>
        <w:spacing w:after="160"/>
        <w:jc w:val="both"/>
      </w:pPr>
      <w:r>
        <w:rPr>
          <w:rFonts w:ascii="Arial" w:cs="Arial" w:eastAsia="Arial" w:hAnsi="Arial"/>
          <w:sz w:val="24"/>
          <w:szCs w:val="24"/>
        </w:rPr>
        <w:t xml:space="preserve">En el contexto de la predicción de la deserción escolar, el </w:t>
      </w:r>
      <w:r>
        <w:rPr>
          <w:rFonts w:ascii="Arial" w:cs="Arial" w:eastAsia="Arial" w:hAnsi="Arial"/>
          <w:i/>
          <w:iCs/>
          <w:sz w:val="24"/>
          <w:szCs w:val="24"/>
        </w:rPr>
        <w:t xml:space="preserve">Gradient Boosting</w:t>
      </w:r>
      <w:r>
        <w:rPr>
          <w:rFonts w:ascii="Arial" w:cs="Arial" w:eastAsia="Arial" w:hAnsi="Arial"/>
          <w:sz w:val="24"/>
          <w:szCs w:val="24"/>
        </w:rPr>
        <w:t xml:space="preserve"> ha demostrado ser especialmente eficaz en conjuntos de datos con relaciones no lineales complejas entre los predictores y la variable de resultado, precisamente el tipo de relaciones que cabe esperar entre las dimensiones psicoemocionales y el riesgo de abandono. Villar y Andrade de Andrade (2024) reportan que los algoritmos de </w:t>
      </w:r>
      <w:r>
        <w:rPr>
          <w:rFonts w:ascii="Arial" w:cs="Arial" w:eastAsia="Arial" w:hAnsi="Arial"/>
          <w:i/>
          <w:iCs/>
          <w:sz w:val="24"/>
          <w:szCs w:val="24"/>
        </w:rPr>
        <w:t xml:space="preserve">boosting</w:t>
      </w:r>
      <w:r>
        <w:rPr>
          <w:rFonts w:ascii="Arial" w:cs="Arial" w:eastAsia="Arial" w:hAnsi="Arial"/>
          <w:sz w:val="24"/>
          <w:szCs w:val="24"/>
        </w:rPr>
        <w:t xml:space="preserve"> superaron consistentemente a los métodos de clasificación individual en una comparación sistemática de siete algoritmos aplicados a la predicción del abandono en educación superior, con métricas F1 y ROC-AUC significativamente más elevadas. Lo anterior sugiere que la incorporación de </w:t>
      </w:r>
      <w:r>
        <w:rPr>
          <w:rFonts w:ascii="Arial" w:cs="Arial" w:eastAsia="Arial" w:hAnsi="Arial"/>
          <w:i/>
          <w:iCs/>
          <w:sz w:val="24"/>
          <w:szCs w:val="24"/>
        </w:rPr>
        <w:t xml:space="preserve">Gradient Boosting</w:t>
      </w:r>
      <w:r>
        <w:rPr>
          <w:rFonts w:ascii="Arial" w:cs="Arial" w:eastAsia="Arial" w:hAnsi="Arial"/>
          <w:sz w:val="24"/>
          <w:szCs w:val="24"/>
        </w:rPr>
        <w:t xml:space="preserve"> como uno de los clasificadores base de la capa 1 del modelo </w:t>
      </w:r>
      <w:r>
        <w:rPr>
          <w:rFonts w:ascii="Arial" w:cs="Arial" w:eastAsia="Arial" w:hAnsi="Arial"/>
          <w:i/>
          <w:iCs/>
          <w:sz w:val="24"/>
          <w:szCs w:val="24"/>
        </w:rPr>
        <w:t xml:space="preserve">Stacking Ensemble</w:t>
      </w:r>
      <w:r>
        <w:rPr>
          <w:rFonts w:ascii="Arial" w:cs="Arial" w:eastAsia="Arial" w:hAnsi="Arial"/>
          <w:sz w:val="24"/>
          <w:szCs w:val="24"/>
        </w:rPr>
        <w:t xml:space="preserve"> propuesto en la presente investigación está respaldada por evidencia empírica sólida.</w:t>
      </w:r>
    </w:p>
    <w:p>
      <w:pPr>
        <w:pStyle w:val="Heading2"/>
        <w:spacing w:before="240" w:after="160"/>
      </w:pPr>
      <w:r>
        <w:rPr>
          <w:rFonts w:ascii="Arial" w:cs="Arial" w:eastAsia="Arial" w:hAnsi="Arial"/>
          <w:b/>
          <w:bCs/>
          <w:sz w:val="26"/>
          <w:szCs w:val="26"/>
        </w:rPr>
        <w:t xml:space="preserve">3.14.3 XGBoost: implementación escalable del gradiente potenciado</w:t>
      </w:r>
    </w:p>
    <w:p>
      <w:pPr>
        <w:spacing w:after="160"/>
        <w:jc w:val="both"/>
      </w:pPr>
      <w:r>
        <w:rPr>
          <w:rFonts w:ascii="Arial" w:cs="Arial" w:eastAsia="Arial" w:hAnsi="Arial"/>
          <w:sz w:val="24"/>
          <w:szCs w:val="24"/>
        </w:rPr>
        <w:t xml:space="preserve">XGBoost (</w:t>
      </w:r>
      <w:r>
        <w:rPr>
          <w:rFonts w:ascii="Arial" w:cs="Arial" w:eastAsia="Arial" w:hAnsi="Arial"/>
          <w:i/>
          <w:iCs/>
          <w:sz w:val="24"/>
          <w:szCs w:val="24"/>
        </w:rPr>
        <w:t xml:space="preserve">eXtreme Gradient Boosting</w:t>
      </w:r>
      <w:r>
        <w:rPr>
          <w:rFonts w:ascii="Arial" w:cs="Arial" w:eastAsia="Arial" w:hAnsi="Arial"/>
          <w:sz w:val="24"/>
          <w:szCs w:val="24"/>
        </w:rPr>
        <w:t xml:space="preserve">) fue desarrollado por Chen y Guestrin (2016) como una implementación escalable y de alto rendimiento del </w:t>
      </w:r>
      <w:r>
        <w:rPr>
          <w:rFonts w:ascii="Arial" w:cs="Arial" w:eastAsia="Arial" w:hAnsi="Arial"/>
          <w:i/>
          <w:iCs/>
          <w:sz w:val="24"/>
          <w:szCs w:val="24"/>
        </w:rPr>
        <w:t xml:space="preserve">Gradient Boosting</w:t>
      </w:r>
      <w:r>
        <w:rPr>
          <w:rFonts w:ascii="Arial" w:cs="Arial" w:eastAsia="Arial" w:hAnsi="Arial"/>
          <w:sz w:val="24"/>
          <w:szCs w:val="24"/>
        </w:rPr>
        <w:t xml:space="preserve"> que incorpora mejoras teóricas y de ingeniería de sistemas significativas respecto a las formulaciones anteriores. Su contribución central es la propuesta de una función objetivo regularizada que penaliza explícitamente la complejidad del árbol mediante un término γT —donde T es el número de hojas terminales— y un término de regularización L2 sobre los pesos de las hojas. Esta regularización integrada distingue a XGBoost de la formulación original de Friedman, que dependía exclusivamente de la tasa de aprendizaje y el número de árboles para controlar el sobreajuste.</w:t>
      </w:r>
    </w:p>
    <w:p>
      <w:pPr>
        <w:spacing w:after="160"/>
        <w:jc w:val="both"/>
      </w:pPr>
      <w:r>
        <w:rPr>
          <w:rFonts w:ascii="Arial" w:cs="Arial" w:eastAsia="Arial" w:hAnsi="Arial"/>
          <w:sz w:val="24"/>
          <w:szCs w:val="24"/>
        </w:rPr>
        <w:t xml:space="preserve">Desde el punto de vista de ingeniería, Chen y Guestrin (2016) introdujeron un algoritmo de búsqueda de divisiones consciente del acceso a caché (</w:t>
      </w:r>
      <w:r>
        <w:rPr>
          <w:rFonts w:ascii="Arial" w:cs="Arial" w:eastAsia="Arial" w:hAnsi="Arial"/>
          <w:i/>
          <w:iCs/>
          <w:sz w:val="24"/>
          <w:szCs w:val="24"/>
        </w:rPr>
        <w:t xml:space="preserve">cache-aware</w:t>
      </w:r>
      <w:r>
        <w:rPr>
          <w:rFonts w:ascii="Arial" w:cs="Arial" w:eastAsia="Arial" w:hAnsi="Arial"/>
          <w:sz w:val="24"/>
          <w:szCs w:val="24"/>
        </w:rPr>
        <w:t xml:space="preserve">), un mecanismo de compresión y fragmentación de datos para procesamiento fuera de memoria (</w:t>
      </w:r>
      <w:r>
        <w:rPr>
          <w:rFonts w:ascii="Arial" w:cs="Arial" w:eastAsia="Arial" w:hAnsi="Arial"/>
          <w:i/>
          <w:iCs/>
          <w:sz w:val="24"/>
          <w:szCs w:val="24"/>
        </w:rPr>
        <w:t xml:space="preserve">out-of-core</w:t>
      </w:r>
      <w:r>
        <w:rPr>
          <w:rFonts w:ascii="Arial" w:cs="Arial" w:eastAsia="Arial" w:hAnsi="Arial"/>
          <w:sz w:val="24"/>
          <w:szCs w:val="24"/>
        </w:rPr>
        <w:t xml:space="preserve">) y un algoritmo de aprendizaje paralelo para datos dispersos (</w:t>
      </w:r>
      <w:r>
        <w:rPr>
          <w:rFonts w:ascii="Arial" w:cs="Arial" w:eastAsia="Arial" w:hAnsi="Arial"/>
          <w:i/>
          <w:iCs/>
          <w:sz w:val="24"/>
          <w:szCs w:val="24"/>
        </w:rPr>
        <w:t xml:space="preserve">sparsity-aware</w:t>
      </w:r>
      <w:r>
        <w:rPr>
          <w:rFonts w:ascii="Arial" w:cs="Arial" w:eastAsia="Arial" w:hAnsi="Arial"/>
          <w:sz w:val="24"/>
          <w:szCs w:val="24"/>
        </w:rPr>
        <w:t xml:space="preserve">). Estas optimizaciones permiten a XGBoost escalar a conjuntos de datos con miles de millones de ejemplos utilizando recursos computacionales significativamente menores que los sistemas previos. El impacto práctico de estas mejoras se refleja en el hecho de que, de las 29 soluciones ganadoras publicadas en la plataforma Kaggle durante 2015, 17 emplearon XGBoost, y de esas, ocho lo utilizaron como único modelo de predicción (Chen y Guestrin, 2016).</w:t>
      </w:r>
    </w:p>
    <w:p>
      <w:pPr>
        <w:spacing w:after="160"/>
        <w:jc w:val="both"/>
      </w:pPr>
      <w:r>
        <w:rPr>
          <w:rFonts w:ascii="Arial" w:cs="Arial" w:eastAsia="Arial" w:hAnsi="Arial"/>
          <w:sz w:val="24"/>
          <w:szCs w:val="24"/>
        </w:rPr>
        <w:t xml:space="preserve">En este sentido, XGBoost ha emergido como el algoritmo de </w:t>
      </w:r>
      <w:r>
        <w:rPr>
          <w:rFonts w:ascii="Arial" w:cs="Arial" w:eastAsia="Arial" w:hAnsi="Arial"/>
          <w:i/>
          <w:iCs/>
          <w:sz w:val="24"/>
          <w:szCs w:val="24"/>
        </w:rPr>
        <w:t xml:space="preserve">boosting</w:t>
      </w:r>
      <w:r>
        <w:rPr>
          <w:rFonts w:ascii="Arial" w:cs="Arial" w:eastAsia="Arial" w:hAnsi="Arial"/>
          <w:sz w:val="24"/>
          <w:szCs w:val="24"/>
        </w:rPr>
        <w:t xml:space="preserve"> de referencia en la comunidad de ciencia de datos, particularmente para tareas de clasificación sobre datos tabulares, que es precisamente el formato que adoptará el conjunto de datos generado por el instrumento psicométrico de la presente investigación. Su capacidad para manejar valores faltantes de manera nativa, su velocidad de entrenamiento y su robustez ante distribuciones irregulares de las variables lo convierten en una elección metodológicamente justificada como clasificador base en el nivel 1 del modelo </w:t>
      </w:r>
      <w:r>
        <w:rPr>
          <w:rFonts w:ascii="Arial" w:cs="Arial" w:eastAsia="Arial" w:hAnsi="Arial"/>
          <w:i/>
          <w:iCs/>
          <w:sz w:val="24"/>
          <w:szCs w:val="24"/>
        </w:rPr>
        <w:t xml:space="preserve">Stacking</w:t>
      </w:r>
      <w:r>
        <w:rPr>
          <w:rFonts w:ascii="Arial" w:cs="Arial" w:eastAsia="Arial" w:hAnsi="Arial"/>
          <w:sz w:val="24"/>
          <w:szCs w:val="24"/>
        </w:rPr>
        <w:t xml:space="preserve"> propuesto. Asimismo, la disponibilidad de métricas de importancia de variables basadas en ganancia de información y frecuencia de uso facilita la posterior aplicación de técnicas de interpretabilidad como los valores SHAP, que se detallarán en la sección 3.16 del presente capítulo.</w:t>
      </w:r>
    </w:p>
    <w:p>
      <w:pPr>
        <w:pBdr>
          <w:top w:val="single" w:color="C00000" w:sz="6" w:space="4"/>
          <w:left w:val="single" w:color="C00000" w:sz="6" w:space="4"/>
          <w:bottom w:val="single" w:color="C00000" w:sz="6" w:space="4"/>
          <w:right w:val="single" w:color="C00000" w:sz="6" w:space="4"/>
        </w:pBdr>
        <w:spacing w:before="160" w:after="160"/>
        <w:ind w:left="720" w:right="720"/>
      </w:pPr>
      <w:r>
        <w:rPr>
          <w:rFonts w:ascii="Arial" w:cs="Arial" w:eastAsia="Arial" w:hAnsi="Arial"/>
          <w:b/>
          <w:bCs/>
          <w:color w:val="C00000"/>
          <w:sz w:val="22"/>
          <w:szCs w:val="22"/>
        </w:rPr>
        <w:t xml:space="preserve">⚠ NOTA DE REVISIÓN: Considerar si se menciona también LightGBM (Ke et al., 2017) como variante de XGBoost más eficiente para conjuntos de datos con alta dimensionalidad. Dado que el instrumento tiene 165 ítems, LightGBM podría ser relevante. Queda a criterio del autor si incorporarlo como clasificador base adicional o simplemente citarlo como alternativa.</w:t>
      </w:r>
    </w:p>
    <w:p>
      <w:pPr>
        <w:pStyle w:val="Heading2"/>
        <w:spacing w:before="240" w:after="160"/>
      </w:pPr>
      <w:r>
        <w:rPr>
          <w:rFonts w:ascii="Arial" w:cs="Arial" w:eastAsia="Arial" w:hAnsi="Arial"/>
          <w:b/>
          <w:bCs/>
          <w:sz w:val="26"/>
          <w:szCs w:val="26"/>
        </w:rPr>
        <w:t xml:space="preserve">3.14.4 Complementariedad de los algoritmos de ensamble en el modelo propuesto</w:t>
      </w:r>
    </w:p>
    <w:p>
      <w:pPr>
        <w:spacing w:after="160"/>
        <w:jc w:val="both"/>
      </w:pPr>
      <w:r>
        <w:rPr>
          <w:rFonts w:ascii="Arial" w:cs="Arial" w:eastAsia="Arial" w:hAnsi="Arial"/>
          <w:sz w:val="24"/>
          <w:szCs w:val="24"/>
        </w:rPr>
        <w:t xml:space="preserve">La selección de </w:t>
      </w:r>
      <w:r>
        <w:rPr>
          <w:rFonts w:ascii="Arial" w:cs="Arial" w:eastAsia="Arial" w:hAnsi="Arial"/>
          <w:i/>
          <w:iCs/>
          <w:sz w:val="24"/>
          <w:szCs w:val="24"/>
        </w:rPr>
        <w:t xml:space="preserve">Random Forest</w:t>
      </w:r>
      <w:r>
        <w:rPr>
          <w:rFonts w:ascii="Arial" w:cs="Arial" w:eastAsia="Arial" w:hAnsi="Arial"/>
          <w:sz w:val="24"/>
          <w:szCs w:val="24"/>
        </w:rPr>
        <w:t xml:space="preserve">, </w:t>
      </w:r>
      <w:r>
        <w:rPr>
          <w:rFonts w:ascii="Arial" w:cs="Arial" w:eastAsia="Arial" w:hAnsi="Arial"/>
          <w:i/>
          <w:iCs/>
          <w:sz w:val="24"/>
          <w:szCs w:val="24"/>
        </w:rPr>
        <w:t xml:space="preserve">Gradient Boosting</w:t>
      </w:r>
      <w:r>
        <w:rPr>
          <w:rFonts w:ascii="Arial" w:cs="Arial" w:eastAsia="Arial" w:hAnsi="Arial"/>
          <w:sz w:val="24"/>
          <w:szCs w:val="24"/>
        </w:rPr>
        <w:t xml:space="preserve"> y XGBoost como clasificadores base del nivel 1 del modelo </w:t>
      </w:r>
      <w:r>
        <w:rPr>
          <w:rFonts w:ascii="Arial" w:cs="Arial" w:eastAsia="Arial" w:hAnsi="Arial"/>
          <w:i/>
          <w:iCs/>
          <w:sz w:val="24"/>
          <w:szCs w:val="24"/>
        </w:rPr>
        <w:t xml:space="preserve">Stacking Ensemble</w:t>
      </w:r>
      <w:r>
        <w:rPr>
          <w:rFonts w:ascii="Arial" w:cs="Arial" w:eastAsia="Arial" w:hAnsi="Arial"/>
          <w:sz w:val="24"/>
          <w:szCs w:val="24"/>
        </w:rPr>
        <w:t xml:space="preserve"> propuesto en esta investigación no responde únicamente a su desempeño predictivo individual, sino a su complementariedad metodológica. Los tres algoritmos pertenecen a la familia de los árboles de decisión y comparten la capacidad de capturar relaciones no lineales, pero difieren en su mecanismo de aprendizaje: </w:t>
      </w:r>
      <w:r>
        <w:rPr>
          <w:rFonts w:ascii="Arial" w:cs="Arial" w:eastAsia="Arial" w:hAnsi="Arial"/>
          <w:i/>
          <w:iCs/>
          <w:sz w:val="24"/>
          <w:szCs w:val="24"/>
        </w:rPr>
        <w:t xml:space="preserve">Random Forest</w:t>
      </w:r>
      <w:r>
        <w:rPr>
          <w:rFonts w:ascii="Arial" w:cs="Arial" w:eastAsia="Arial" w:hAnsi="Arial"/>
          <w:sz w:val="24"/>
          <w:szCs w:val="24"/>
        </w:rPr>
        <w:t xml:space="preserve"> reduce la varianza mediante el promedio de árboles entrenados sobre submuestras independientes, mientras </w:t>
      </w:r>
      <w:r>
        <w:rPr>
          <w:rFonts w:ascii="Arial" w:cs="Arial" w:eastAsia="Arial" w:hAnsi="Arial"/>
          <w:i/>
          <w:iCs/>
          <w:sz w:val="24"/>
          <w:szCs w:val="24"/>
        </w:rPr>
        <w:t xml:space="preserve">Gradient Boosting</w:t>
      </w:r>
      <w:r>
        <w:rPr>
          <w:rFonts w:ascii="Arial" w:cs="Arial" w:eastAsia="Arial" w:hAnsi="Arial"/>
          <w:sz w:val="24"/>
          <w:szCs w:val="24"/>
        </w:rPr>
        <w:t xml:space="preserve"> y XGBoost reducen el sesgo a través de la corrección secuencial de errores residuales. Esta diferencia implica que los tres modelos capturan aspectos distintos de la estructura de los datos, y que sus predicciones, al combinarse en el meta-aprendiz, contienen información complementaria no capturada por ninguno de ellos individualmente (Kotsiantis et al., 2007).</w:t>
      </w:r>
    </w:p>
    <w:p>
      <w:pPr>
        <w:spacing w:after="160"/>
        <w:jc w:val="both"/>
      </w:pPr>
      <w:r>
        <w:rPr>
          <w:rFonts w:ascii="Arial" w:cs="Arial" w:eastAsia="Arial" w:hAnsi="Arial"/>
          <w:sz w:val="24"/>
          <w:szCs w:val="24"/>
        </w:rPr>
        <w:t xml:space="preserve">Por otro lado, la diversidad de los modelos base es una condición teórica necesaria para que la estrategia de </w:t>
      </w:r>
      <w:r>
        <w:rPr>
          <w:rFonts w:ascii="Arial" w:cs="Arial" w:eastAsia="Arial" w:hAnsi="Arial"/>
          <w:i/>
          <w:iCs/>
          <w:sz w:val="24"/>
          <w:szCs w:val="24"/>
        </w:rPr>
        <w:t xml:space="preserve">stacking</w:t>
      </w:r>
      <w:r>
        <w:rPr>
          <w:rFonts w:ascii="Arial" w:cs="Arial" w:eastAsia="Arial" w:hAnsi="Arial"/>
          <w:sz w:val="24"/>
          <w:szCs w:val="24"/>
        </w:rPr>
        <w:t xml:space="preserve"> produzca una mejora real sobre los clasificadores individuales: si los modelos base cometen los mismos errores en las mismas instancias, el meta-aprendiz no dispone de información adicional para corregirlos. En este sentido, la elección de un modelo de </w:t>
      </w:r>
      <w:r>
        <w:rPr>
          <w:rFonts w:ascii="Arial" w:cs="Arial" w:eastAsia="Arial" w:hAnsi="Arial"/>
          <w:i/>
          <w:iCs/>
          <w:sz w:val="24"/>
          <w:szCs w:val="24"/>
        </w:rPr>
        <w:t xml:space="preserve">bagging</w:t>
      </w:r>
      <w:r>
        <w:rPr>
          <w:rFonts w:ascii="Arial" w:cs="Arial" w:eastAsia="Arial" w:hAnsi="Arial"/>
          <w:sz w:val="24"/>
          <w:szCs w:val="24"/>
        </w:rPr>
        <w:t xml:space="preserve"> (</w:t>
      </w:r>
      <w:r>
        <w:rPr>
          <w:rFonts w:ascii="Arial" w:cs="Arial" w:eastAsia="Arial" w:hAnsi="Arial"/>
          <w:i/>
          <w:iCs/>
          <w:sz w:val="24"/>
          <w:szCs w:val="24"/>
        </w:rPr>
        <w:t xml:space="preserve">Random Forest</w:t>
      </w:r>
      <w:r>
        <w:rPr>
          <w:rFonts w:ascii="Arial" w:cs="Arial" w:eastAsia="Arial" w:hAnsi="Arial"/>
          <w:sz w:val="24"/>
          <w:szCs w:val="24"/>
        </w:rPr>
        <w:t xml:space="preserve">) junto con dos variantes de </w:t>
      </w:r>
      <w:r>
        <w:rPr>
          <w:rFonts w:ascii="Arial" w:cs="Arial" w:eastAsia="Arial" w:hAnsi="Arial"/>
          <w:i/>
          <w:iCs/>
          <w:sz w:val="24"/>
          <w:szCs w:val="24"/>
        </w:rPr>
        <w:t xml:space="preserve">boosting</w:t>
      </w:r>
      <w:r>
        <w:rPr>
          <w:rFonts w:ascii="Arial" w:cs="Arial" w:eastAsia="Arial" w:hAnsi="Arial"/>
          <w:sz w:val="24"/>
          <w:szCs w:val="24"/>
        </w:rPr>
        <w:t xml:space="preserve"> (</w:t>
      </w:r>
      <w:r>
        <w:rPr>
          <w:rFonts w:ascii="Arial" w:cs="Arial" w:eastAsia="Arial" w:hAnsi="Arial"/>
          <w:i/>
          <w:iCs/>
          <w:sz w:val="24"/>
          <w:szCs w:val="24"/>
        </w:rPr>
        <w:t xml:space="preserve">Gradient Boosting</w:t>
      </w:r>
      <w:r>
        <w:rPr>
          <w:rFonts w:ascii="Arial" w:cs="Arial" w:eastAsia="Arial" w:hAnsi="Arial"/>
          <w:sz w:val="24"/>
          <w:szCs w:val="24"/>
        </w:rPr>
        <w:t xml:space="preserve"> y XGBoost) garantiza un nivel de diversidad algorítmica que, de acuerdo con la evidencia empírica disponible, maximiza las posibilidades de que el meta-aprendiz basado en una red neuronal artificial —descrita en la sección 3.15— identifique patrones de error complementarios y construya una predicción final superior a la de cualquier modelo base (Breiman, 2001; Friedman, 2001).</w:t>
      </w:r>
    </w:p>
    <w:p>
      <w:pPr>
        <w:spacing w:after="160"/>
        <w:jc w:val="both"/>
      </w:pPr>
      <w:r>
        <w:rPr>
          <w:rFonts w:ascii="Arial" w:cs="Arial" w:eastAsia="Arial" w:hAnsi="Arial"/>
          <w:sz w:val="24"/>
          <w:szCs w:val="24"/>
        </w:rPr>
        <w:t xml:space="preserve">A partir de lo anterior, los tres algoritmos de ensamble configuran colectivamente la primera capa del sistema predictivo propuesto: procesan el conjunto de datos completo —que incluye las 165 variables psicoemocionales del instrumento construido para este estudio— y generan vectores de predicciones preliminares que constituyen la entrada del meta-aprendiz. Este diseño en dos niveles permite que el modelo final integre tanto las fortalezas individuales de cada algoritmo base como las relaciones entre sus errores, alcanzando un nivel de precisión predictiva consistente con los estándares reportados en la literatura más reciente sobre predicción de deserción escolar en educación superior (Villar y Andrade de Andrade, 2024; Rastrollo-Guerrero et al.,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sz w:val="28"/>
      <w:szCs w:val="28"/>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2026-04-01T22:05:28.243Z</dcterms:created>
  <dcterms:modified xsi:type="dcterms:W3CDTF">2026-04-01T22:05:28.243Z</dcterms:modified>
</cp:coreProperties>
</file>

<file path=docProps/custom.xml><?xml version="1.0" encoding="utf-8"?>
<Properties xmlns="http://schemas.openxmlformats.org/officeDocument/2006/custom-properties" xmlns:vt="http://schemas.openxmlformats.org/officeDocument/2006/docPropsVTypes"/>
</file>